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59"/>
        <w:gridCol w:w="1"/>
        <w:gridCol w:w="59"/>
        <w:gridCol w:w="1"/>
        <w:gridCol w:w="139"/>
        <w:gridCol w:w="1"/>
      </w:tblGrid>
      <w:tr>
        <w:tblPrEx>
          <w:tblCellMar>
            <w:top w:w="0" w:type="dxa"/>
            <w:left w:w="10" w:type="dxa"/>
            <w:bottom w:w="0" w:type="dxa"/>
            <w:right w:w="10" w:type="dxa"/>
          </w:tblCellMar>
        </w:tblPrEx>
        <w:trPr>
          <w:gridAfter w:val="10"/>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兴银理财添利9号净值型理财产品2023年第三季度报告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兴银理财添利9号净值型理财产品</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10"/>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兴银理财添利9号净值型理财产品2023年第三季度报告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r>
              <w:rPr>
                <w:rFonts w:ascii="宋体" w:hAnsi="宋体" w:eastAsia="宋体" w:cs="宋体"/>
                <w:color w:val="000000"/>
                <w:sz w:val="21"/>
              </w:rPr>
              <w:br w:type="textWrapping"/>
            </w:r>
            <w:r>
              <w:rPr>
                <w:rFonts w:ascii="宋体" w:hAnsi="宋体" w:eastAsia="宋体" w:cs="宋体"/>
                <w:color w:val="000000"/>
                <w:sz w:val="21"/>
              </w:rPr>
              <w:t xml:space="preserve">     7. 影响理财份额投资人决策的其他重要信息</w:t>
            </w:r>
          </w:p>
        </w:tc>
        <w:tc>
          <w:p>
            <w:pPr>
              <w:pStyle w:val="4"/>
            </w:pPr>
          </w:p>
        </w:tc>
        <w:tc>
          <w:p>
            <w:pPr>
              <w:pStyle w:val="4"/>
            </w:pPr>
          </w:p>
        </w:tc>
      </w:tr>
      <w:tr>
        <w:tblPrEx>
          <w:tblCellMar>
            <w:top w:w="0" w:type="dxa"/>
            <w:left w:w="10" w:type="dxa"/>
            <w:bottom w:w="0" w:type="dxa"/>
            <w:right w:w="10" w:type="dxa"/>
          </w:tblCellMar>
        </w:tblPrEx>
        <w:trPr>
          <w:gridAfter w:val="10"/>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兴银理财添利9号净值型理财产品2023年第三季度报告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10"/>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10"/>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10"/>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兴银理财添利9号净值型理财产品</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9B310005</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Z7002020000173</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123,288,451,035.73份</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R1</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10"/>
          <w:trHeight w:val="3000" w:hRule="exact"/>
        </w:trPr>
        <w:tc>
          <w:p>
            <w:pPr>
              <w:pStyle w:val="4"/>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兴银添利宝（中信专属）</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9B310015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10,163,599,390.13</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添利天天赢</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9B310025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8,753,568,195.23</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兴银添利宝C</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9B310035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30,654,651,617.55</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兴银添利宝D</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9B310045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25,437,471,613.83</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10"/>
          <w:trHeight w:val="4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3" w:name="JR_PAGE_ANCHOR_0_4"/>
            <w:bookmarkEnd w:id="3"/>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兴银理财添利9号净值型理财产品2023年第三季度报告</w:t>
            </w: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兴银添利宝E</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9B310055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2,779,822,246.44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兴银添利宝F-浦发专属</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9B310065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4,479,682,672.47</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兴银添利宝G</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9B310075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10,387,683,329.97</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兴银添利9号H</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9B310085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15,115,144,134.52</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兴银添利宝I</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9,866,912,178.54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兴银添利宝J</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9B310105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1,234,327,449.97</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兴银添利宝K</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9B310115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532,818,015.34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兴银添利宝M</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9B310125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3,446,804,240.05</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兴银添利宝N</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9B310135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161,113,776.88</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兴银添利宝O</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9B310145</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274,852,174.81</w:t>
                        </w:r>
                      </w:p>
                    </w:tc>
                  </w:tr>
                </w:tbl>
                <w:p>
                  <w:pPr>
                    <w:pStyle w:val="4"/>
                    <w:jc w:val="center"/>
                  </w:pPr>
                </w:p>
              </w:tc>
            </w:tr>
          </w:tbl>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3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3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1900" w:hRule="atLeast"/>
        </w:trPr>
        <w:tc>
          <w:p>
            <w:pPr>
              <w:pStyle w:val="4"/>
            </w:pPr>
          </w:p>
        </w:tc>
        <w:tc>
          <w:tcPr>
            <w:gridSpan w:val="14"/>
            <w:tcMar>
              <w:top w:w="0" w:type="dxa"/>
              <w:left w:w="0" w:type="dxa"/>
              <w:bottom w:w="0" w:type="dxa"/>
              <w:right w:w="0" w:type="dxa"/>
            </w:tcMar>
            <w:vAlign w:val="center"/>
          </w:tcPr>
          <w:p>
            <w:pPr>
              <w:spacing w:before="0" w:after="0" w:line="320" w:lineRule="exact"/>
              <w:ind w:firstLine="0"/>
            </w:pPr>
            <w:r>
              <w:rPr>
                <w:rFonts w:ascii="宋体" w:hAnsi="宋体" w:eastAsia="宋体" w:cs="宋体"/>
                <w:color w:val="000000"/>
                <w:sz w:val="21"/>
              </w:rPr>
              <w:t xml:space="preserve">    报告期内，9B310015七日年化收益率均值2.3912%，9B310025七日年化收益率均值2.2937%，9B310035七日年化收益率均值2.4133%，9B310045七日年化收益率均值2.3220%，9B310055七日年化收益率均值2.3959%，9B310065七日年化收益率均值2.3939%，9B310075七日年化收益率均值2.4963%，9B310085七日年化收益率均值2.4467%，9B310095七日年化收益率均值2.2937%，9B310105七日年化收益率均值2.5484%，9B310115七日年化收益率均值2.3939%，9B310125七日年化收益率均值2.4038%，9B310135七日年化收益率均值2.5570%，9B310145七日年化收益率均值2.2202%。同期业绩比较基准¹如下：</w:t>
            </w: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1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4800" w:hRule="exact"/>
        </w:trPr>
        <w:tc>
          <w:p>
            <w:pPr>
              <w:pStyle w:val="4"/>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4000"/>
              <w:gridCol w:w="4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AFAFA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b/>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b/>
                            <w:color w:val="000000"/>
                            <w:sz w:val="21"/>
                          </w:rPr>
                          <w:t>适用期间</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b/>
                            <w:color w:val="000000"/>
                            <w:sz w:val="21"/>
                          </w:rPr>
                          <w:t>业绩比较基准</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9B310145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9B310075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9B310105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9B310045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9B310025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9B310035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9B310115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14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兴银理财添利9号净值型理财产品2023年第三季度报告</w:t>
            </w: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600" w:hRule="exact"/>
        </w:trPr>
        <w:tc>
          <w:p>
            <w:pPr>
              <w:pStyle w:val="4"/>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4000"/>
              <w:gridCol w:w="4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9B310055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9B310065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9B310085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9B310135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20"/>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22"/>
            <w:tcMar>
              <w:top w:w="0" w:type="dxa"/>
              <w:left w:w="0" w:type="dxa"/>
              <w:bottom w:w="0" w:type="dxa"/>
              <w:right w:w="0" w:type="dxa"/>
            </w:tcMar>
            <w:vAlign w:val="center"/>
          </w:tcPr>
          <w:p>
            <w:r>
              <w:rPr>
                <w:rFonts w:ascii="宋体" w:hAnsi="宋体" w:eastAsia="宋体" w:cs="宋体"/>
                <w:color w:val="000000"/>
                <w:sz w:val="21"/>
              </w:rPr>
              <w:t>报告期末，产品收益具体如下：</w:t>
            </w: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9B310005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0.6550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2.3260%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123,288,451,035.73</w:t>
                        </w:r>
                      </w:p>
                    </w:tc>
                  </w:tr>
                </w:tbl>
                <w:p>
                  <w:pPr>
                    <w:pStyle w:val="4"/>
                  </w:pPr>
                </w:p>
              </w:tc>
            </w:tr>
          </w:tbl>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8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0.6879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2.4330%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10,163,599,390.13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9B310025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0.6331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2.2350%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8,753,568,195.23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9B310035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0.6742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2.3820%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30,654,651,617.55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9B310045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0.6057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25,437,471,613.83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9B310055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0.6605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2.3310%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2,779,822,246.44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9B310065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0.6605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2.3310%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4,479,682,672.47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9B310075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0.6879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2.4330%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10,387,683,329.97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9B310085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0.6742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2.3750%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15,115,144,134.52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0.6331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2.2250%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9,866,912,178.54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9B310105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0.7016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2.4830%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1,234,327,449.97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0.6605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2.3320%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532,818,015.34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9B310125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0.6605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2.3330%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3,446,804,240.05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9B310135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0.6879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2.4300%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161,113,776.88</w:t>
                        </w:r>
                      </w:p>
                    </w:tc>
                  </w:tr>
                </w:tbl>
                <w:p>
                  <w:pPr>
                    <w:pStyle w:val="4"/>
                  </w:pPr>
                </w:p>
              </w:tc>
            </w:tr>
          </w:tbl>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8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0" w:hRule="atLeast"/>
        </w:trPr>
        <w:tc>
          <w:p>
            <w:pPr>
              <w:pStyle w:val="4"/>
              <w:pageBreakBefore/>
            </w:pPr>
            <w:bookmarkStart w:id="5" w:name="JR_PAGE_ANCHOR_0_6"/>
            <w:bookmarkEnd w:id="5"/>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9B310145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0.6057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2.1520%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274,852,174.81</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1560" w:hRule="atLeast"/>
        </w:trPr>
        <w:tc>
          <w:p>
            <w:pPr>
              <w:pStyle w:val="4"/>
            </w:pPr>
          </w:p>
        </w:tc>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汪锦女士，上海财经大学管理学学士、经济学硕士，国际金融理财师（CFP），中级经济师职称。银行理财产品创设、投资从业14年。 2008年任上海银行金融市场部同业“利多系列”产品投资经理；2013年加入兴业银行总行资产管理部历任同业“稳增1号”、“稳增2号”投资经理。2016年起，负责资产管理部流动性管理，管理总规模逾万亿，擅长大资金的资产配置和流动性管理；2019年转入兴银理财，现担任兴银理财添利9号、添利5号、添利10号、日日新2号和现金宝4号净值型理财产品投资经理。</w:t>
            </w:r>
          </w:p>
        </w:tc>
        <w:tc>
          <w:p>
            <w:pPr>
              <w:pStyle w:val="4"/>
            </w:pPr>
          </w:p>
        </w:tc>
      </w:tr>
      <w:tr>
        <w:tblPrEx>
          <w:tblCellMar>
            <w:top w:w="0" w:type="dxa"/>
            <w:left w:w="10" w:type="dxa"/>
            <w:bottom w:w="0" w:type="dxa"/>
            <w:right w:w="10" w:type="dxa"/>
          </w:tblCellMar>
        </w:tblPrEx>
        <w:trPr>
          <w:gridAfter w:val="8"/>
          <w:trHeight w:val="465"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1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692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 宏观经济及市场情况</w:t>
            </w:r>
            <w:r>
              <w:rPr>
                <w:rFonts w:ascii="宋体" w:hAnsi="宋体" w:eastAsia="宋体" w:cs="宋体"/>
                <w:color w:val="000000"/>
                <w:sz w:val="21"/>
              </w:rPr>
              <w:br w:type="textWrapping"/>
            </w:r>
            <w:r>
              <w:rPr>
                <w:rFonts w:ascii="宋体" w:hAnsi="宋体" w:eastAsia="宋体" w:cs="宋体"/>
                <w:color w:val="000000"/>
                <w:sz w:val="21"/>
              </w:rPr>
              <w:t xml:space="preserve">    三季度利率总体先下后上，主要分为四个阶段：7月经济偏弱叠加政策预期降温，利率震荡下行；7月末资金面收紧，政策定调积极，债市调整；8月中上旬经济继续走弱叠加超预期降息，长端快速下行，短端震荡上行；8月下旬至9月末，稳增长政策密集出台，资金面紧张，债市大幅调整，10年期国债利率上行至2.68%，1年期国债利率上行至2.17%。信用债方面，三季度发行规模同比、环比均小幅增加，增速超同期偿还量、净融资额明显增加；收益率随利率走势大致呈现“U“型，利差全面收窄，低等级中长期限收窄幅度偏大。</w:t>
            </w:r>
            <w:r>
              <w:rPr>
                <w:rFonts w:ascii="宋体" w:hAnsi="宋体" w:eastAsia="宋体" w:cs="宋体"/>
                <w:color w:val="000000"/>
                <w:sz w:val="21"/>
              </w:rPr>
              <w:br w:type="textWrapping"/>
            </w:r>
            <w:r>
              <w:rPr>
                <w:rFonts w:ascii="宋体" w:hAnsi="宋体" w:eastAsia="宋体" w:cs="宋体"/>
                <w:color w:val="000000"/>
                <w:sz w:val="21"/>
              </w:rPr>
              <w:t xml:space="preserve">    展望后市，外围地缘政治冲突加剧，外部环境仍面临较大不确定性。国内方面三季度出台的一系列稳增长政策效果预期显效，四季度GDP名义增长同比或改善，预期房地产、化债和资本市场等政策将继续发力；在稳增长、稳汇率和配合财政政策的背景下，资金面预期维持均衡，宽货币政策或仍可期；四季度机构行为扰动增加，债券市场或区间震荡，整体风险可控。未来需密切关注经济基本面、政府债供给和货币政策等情况。</w:t>
            </w:r>
            <w:r>
              <w:rPr>
                <w:rFonts w:ascii="宋体" w:hAnsi="宋体" w:eastAsia="宋体" w:cs="宋体"/>
                <w:color w:val="000000"/>
                <w:sz w:val="21"/>
              </w:rPr>
              <w:br w:type="textWrapping"/>
            </w:r>
            <w:r>
              <w:rPr>
                <w:rFonts w:ascii="宋体" w:hAnsi="宋体" w:eastAsia="宋体" w:cs="宋体"/>
                <w:color w:val="000000"/>
                <w:sz w:val="21"/>
              </w:rPr>
              <w:t>二 前期运作回顾</w:t>
            </w:r>
            <w:r>
              <w:rPr>
                <w:rFonts w:ascii="宋体" w:hAnsi="宋体" w:eastAsia="宋体" w:cs="宋体"/>
                <w:color w:val="000000"/>
                <w:sz w:val="21"/>
              </w:rPr>
              <w:br w:type="textWrapping"/>
            </w:r>
            <w:r>
              <w:rPr>
                <w:rFonts w:ascii="宋体" w:hAnsi="宋体" w:eastAsia="宋体" w:cs="宋体"/>
                <w:color w:val="000000"/>
                <w:sz w:val="21"/>
              </w:rPr>
              <w:t xml:space="preserve">    报告期内，本产品始终将保持流动性安全和防范信用风险作为第一要务，在此基础上通过稳健的投资风格实现相对有竞争力的收益。随着8月末起资金成本中枢抬升，杠杆套息策略效用逐渐下降，产品降杠杆成为当前主要策略之一。配置上，积极把握市场调整时的买入机会，尤其是季度末、缴税等关键时间节点。品种上，鉴于银行对于负债需求较大，同业存单、存放同业配置价值凸显，特别是中小银行发行的存单，部分已经明显高于同期限信用债，三季度增配了不少上述资产。此外，目前1年以内资产收益率曲线较为扁平，期限品种上，以6M为建仓主力品种。</w:t>
            </w:r>
            <w:r>
              <w:rPr>
                <w:rFonts w:ascii="宋体" w:hAnsi="宋体" w:eastAsia="宋体" w:cs="宋体"/>
                <w:color w:val="000000"/>
                <w:sz w:val="21"/>
              </w:rPr>
              <w:br w:type="textWrapping"/>
            </w:r>
            <w:r>
              <w:rPr>
                <w:rFonts w:ascii="宋体" w:hAnsi="宋体" w:eastAsia="宋体" w:cs="宋体"/>
                <w:color w:val="000000"/>
                <w:sz w:val="21"/>
              </w:rPr>
              <w:t>三 后期投资策略</w:t>
            </w:r>
            <w:r>
              <w:rPr>
                <w:rFonts w:ascii="宋体" w:hAnsi="宋体" w:eastAsia="宋体" w:cs="宋体"/>
                <w:color w:val="000000"/>
                <w:sz w:val="21"/>
              </w:rPr>
              <w:br w:type="textWrapping"/>
            </w:r>
            <w:r>
              <w:rPr>
                <w:rFonts w:ascii="宋体" w:hAnsi="宋体" w:eastAsia="宋体" w:cs="宋体"/>
                <w:color w:val="000000"/>
                <w:sz w:val="21"/>
              </w:rPr>
              <w:t xml:space="preserve">    四季度短端利率水平较前期配置价值提升，本产品仍然会坚持以安全性和流动性优先、兼顾收益性的稳健策略，综合考量各类资产的风险收益特征，根据市场情况灵活把握投资节奏。结合负债端情况提前布局产品流动性，保障产品运作安全。同时，我们会按照《关于规范现金管理类理财产品管理有关事项的通知》的相关要求，持续动态监控产品投资组合，保障产品合规、平稳地运作。</w:t>
            </w: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8"/>
          <w:trHeight w:val="18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6" w:name="JR_PAGE_ANCHOR_0_7"/>
            <w:bookmarkEnd w:id="6"/>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2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13"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36.33</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6.12</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18.78</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37.55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38.77</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r>
            <w:bookmarkEnd w:id="13"/>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报告期末本产品总资产未超过该产品净资产规模的120%，符合产品协议对本产品杠杆比例的要求。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2580" w:hRule="atLeast"/>
        </w:trPr>
        <w:tc>
          <w:p>
            <w:pPr>
              <w:pStyle w:val="4"/>
            </w:pPr>
          </w:p>
        </w:tc>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gridAfter w:val="6"/>
          <w:trHeight w:val="42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Z存放同业（线上）20221121005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2,146,158,000.00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Z存放同业（线上）20221201019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2,042,222,222.56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定期存款20230330004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2,031,861,110.70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定期存款20230330013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2,031,424,656.85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23CSFD59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1,994,885,976.91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Z存放同业(线上)20221222001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1,531,837,500.00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1.24</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3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兴银理财添利9号净值型理财产品2023年第三季度报告</w:t>
            </w: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24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Z存放同业（线上）20221223001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1,531,137,500.94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Z存放同业（线上）20230112016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1,528,383,332.46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22CSFD172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1,439,243,012.57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Z存放同业（线上）20230214003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1,220,762,667.43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10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23云投SCP024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23乌高新SCP003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23湘高速SCP006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23知识城SCP007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23赣水投SCP006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23闽漳龙SCP004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23华数传媒SCP001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23南昌建投SCP002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23厦门资管SCP001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23威海产投SCP002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23安徽港航SCP002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23物产中大SCP006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23象屿股份SCP010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23青岛海控SCP003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23龙盛SCP009(科创票据)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23金风科技SCP001(科创票据)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23春风一方ABN002优先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8" w:name="JR_PAGE_ANCHOR_0_9"/>
            <w:bookmarkEnd w:id="8"/>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兴银理财添利9号净值型理财产品2023年第三季度报告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14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21兴杭01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22象屿G1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20联发集MTN003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20联发集MTN003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19发展01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19赣投MTN001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21金地MTN005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18冀港集MTN002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18甘国投MTN001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19陕有色MTN003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20哈城投MTN002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20川铁投MTN004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20联发集MTN003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20豫交运MTN006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20陕延油MTN003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21中节能MTN002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21乌城投MTN002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21北部湾MTN005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21大悦城MTN001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21大悦城MTN002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21新静安MTN001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21杭金投MTN002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21浙国贸MTN002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21胶州湾MTN001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9/</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9" w:name="JR_PAGE_ANCHOR_0_10"/>
            <w:bookmarkEnd w:id="9"/>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兴银理财添利9号净值型理财产品2023年第三季度报告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14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21苏沙钢MTN002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21赣国资MTN001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18无锡建投MTN003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18海宁资产MTN002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19淮安交通MTN001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19福州城投MTN001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19紫金矿业MTN003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19连云城建MTN001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20临空港投MTN002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20华发集团MTN005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20南通城建MTN002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20平安不动MTN002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20徐新国资MTN002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20水发集团MTN001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20汉江国资MTN006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20江北新区MTN004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20泉州城建MTN004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20浦口康居MTN004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20海宁城投MTN001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20海沧投资MTN001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20滨江房产MTN003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20紫金矿业MTN003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20连云金控MTN001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20重庆发展MTN001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10/</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10" w:name="JR_PAGE_ANCHOR_0_11"/>
            <w:bookmarkEnd w:id="10"/>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兴银理财添利9号净值型理财产品2023年第三季度报告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14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20青岛城投MTN004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21上虞交通MTN001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21东南国资MTN001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21中银投资MTN001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21常德经建MTN001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21武汉城建MTN002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21海宁城投MTN002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21淮安城资MTN001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21生产兵团MTN001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21福建石化MTN001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21龙城发展MTN001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22晋能装备MTN009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21鲁高速MTN006(革命老区)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22桂投资CP001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22百业源CP001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23云能投CP009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23宁河西CP002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23津城建CP010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23湘高速CP002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23中兴国资CP001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23四川路桥CP001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23建安投资CP002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23武清国资CP002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23海发集团CP001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11" w:name="JR_PAGE_ANCHOR_0_12"/>
            <w:bookmarkEnd w:id="11"/>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兴银理财添利9号净值型理财产品2023年第三季度报告</w:t>
            </w: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60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23荆州城发CP001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23越秀资本CP001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23青岛华通CP002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23青岛黄岛CP002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20常城建PPN003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21华远陆港PPN001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21徐州兴铜PPN001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21泰州城投PPN001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21滨江城建PPN002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21胶州城投PPN001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2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126.52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快赎垫资服务</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816.73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gridAfter w:val="6"/>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051010100101101745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22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12" w:name="JR_PAGE_ANCHOR_0_13"/>
            <w:bookmarkEnd w:id="12"/>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10"/>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兴银理财添利9号净值型理财产品2023年第三季度报告</w:t>
            </w:r>
          </w:p>
        </w:tc>
        <w:tc>
          <w:tcPr>
            <w:gridSpan w:val="10"/>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10"/>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10"/>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4"/>
            <w:tcMar>
              <w:top w:w="0" w:type="dxa"/>
              <w:left w:w="0" w:type="dxa"/>
              <w:bottom w:w="0" w:type="dxa"/>
              <w:right w:w="0" w:type="dxa"/>
            </w:tcMar>
            <w:vAlign w:val="center"/>
          </w:tcPr>
          <w:p>
            <w:pPr>
              <w:jc w:val="left"/>
            </w:pPr>
            <w:r>
              <w:rPr>
                <w:rFonts w:ascii="宋体" w:hAnsi="宋体" w:eastAsia="宋体" w:cs="宋体"/>
                <w:b/>
                <w:color w:val="000000"/>
                <w:sz w:val="21"/>
              </w:rPr>
              <w:t>7.影响理财份额投资人决策的其他重要信息</w:t>
            </w: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4"/>
            <w:tcMar>
              <w:top w:w="0" w:type="dxa"/>
              <w:left w:w="0" w:type="dxa"/>
              <w:bottom w:w="0" w:type="dxa"/>
              <w:right w:w="0" w:type="dxa"/>
            </w:tcMar>
            <w:vAlign w:val="center"/>
          </w:tcPr>
          <w:p>
            <w:pPr>
              <w:jc w:val="left"/>
            </w:pPr>
            <w:r>
              <w:rPr>
                <w:rFonts w:ascii="宋体" w:hAnsi="宋体" w:eastAsia="宋体" w:cs="宋体"/>
                <w:color w:val="000000"/>
                <w:sz w:val="20"/>
              </w:rPr>
              <w:t xml:space="preserve"> 7.1报告期内单一投资者持有产品份额达到或者超过该产品总份额20%的情形</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pPr>
                        <w:r>
                          <w:rPr>
                            <w:rFonts w:ascii="宋体" w:hAnsi="宋体" w:eastAsia="宋体" w:cs="宋体"/>
                            <w:color w:val="000000"/>
                            <w:sz w:val="21"/>
                          </w:rPr>
                          <w:t xml:space="preserve">    本产品本报告期无单一投资者持有产品份额达到或者超过该产品总份额20%的情形。</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10"/>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10"/>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10"/>
          </w:tcPr>
          <w:p>
            <w:pPr>
              <w:pStyle w:val="4"/>
            </w:pPr>
          </w:p>
        </w:tc>
        <w:tc>
          <w:p>
            <w:pPr>
              <w:pStyle w:val="4"/>
            </w:pPr>
          </w:p>
        </w:tc>
      </w:tr>
      <w:tr>
        <w:tblPrEx>
          <w:tblCellMar>
            <w:top w:w="0" w:type="dxa"/>
            <w:left w:w="10" w:type="dxa"/>
            <w:bottom w:w="0" w:type="dxa"/>
            <w:right w:w="10" w:type="dxa"/>
          </w:tblCellMar>
        </w:tblPrEx>
        <w:trPr>
          <w:trHeight w:val="118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10"/>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tcPr>
            <w:gridSpan w:val="10"/>
          </w:tcPr>
          <w:p>
            <w:pPr>
              <w:pStyle w:val="4"/>
            </w:pPr>
          </w:p>
        </w:tc>
        <w:tc>
          <w:p>
            <w:pPr>
              <w:pStyle w:val="4"/>
            </w:pPr>
          </w:p>
        </w:tc>
      </w:tr>
    </w:tbl>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documentProtection w:enforcement="0"/>
  <w:defaultTabStop w:val="800"/>
  <w:compat>
    <w:useFELayout/>
    <w:splitPgBreakAndParaMark/>
    <w:compatSetting w:name="compatibilityMode" w:uri="http://schemas.microsoft.com/office/word" w:val="12"/>
  </w:compat>
  <w:rsids>
    <w:rsidRoot w:val="00000000"/>
    <w:rsid w:val="1CED2E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 2_TH"/>
    <w:qFormat/>
    <w:uiPriority w:val="0"/>
    <w:pPr>
      <w:spacing w:line="240" w:lineRule="auto"/>
    </w:pPr>
    <w:rPr>
      <w:rFonts w:ascii="SansSerif" w:hAnsi="SansSerif" w:eastAsia="SansSerif" w:cs="SansSerif"/>
      <w:color w:val="000000"/>
      <w:sz w:val="20"/>
      <w:szCs w:val="22"/>
    </w:rPr>
  </w:style>
  <w:style w:type="paragraph" w:customStyle="1" w:styleId="12">
    <w:name w:val="Table 2_CH"/>
    <w:qFormat/>
    <w:uiPriority w:val="0"/>
    <w:pPr>
      <w:spacing w:line="240" w:lineRule="auto"/>
    </w:pPr>
    <w:rPr>
      <w:rFonts w:ascii="SansSerif" w:hAnsi="SansSerif" w:eastAsia="SansSerif" w:cs="SansSerif"/>
      <w:color w:val="000000"/>
      <w:sz w:val="20"/>
      <w:szCs w:val="22"/>
    </w:rPr>
  </w:style>
  <w:style w:type="paragraph" w:customStyle="1" w:styleId="13">
    <w:name w:val="Table 2_TD"/>
    <w:qFormat/>
    <w:uiPriority w:val="0"/>
    <w:pPr>
      <w:spacing w:line="240" w:lineRule="auto"/>
    </w:pPr>
    <w:rPr>
      <w:rFonts w:ascii="SansSerif" w:hAnsi="SansSerif" w:eastAsia="SansSerif" w:cs="SansSerif"/>
      <w:color w:val="000000"/>
      <w:sz w:val="20"/>
      <w:szCs w:val="22"/>
    </w:rPr>
  </w:style>
  <w:style w:type="paragraph" w:customStyle="1" w:styleId="14">
    <w:name w:val="Table_C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2023-10-24T02:24:10Z</dcterms:created>
  <dc:creator>xihonghu</dc:creator>
  <cp:lastModifiedBy>xihonghu</cp:lastModifiedBy>
  <dcterms:modified xsi:type="dcterms:W3CDTF">2023-10-24T02:26:58Z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