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8" w:name="_GoBack"/>
            <w:bookmarkEnd w:id="8"/>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兴业银行“天天万利宝-稳利1号”净值型理财产品（12M）2023年第三季度报告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兴业银行“天天万利宝-稳利1号”净值型理财产品（12M）</w:t>
            </w:r>
            <w:r>
              <w:rPr>
                <w:rFonts w:ascii="宋体" w:hAnsi="宋体" w:eastAsia="宋体" w:cs="宋体"/>
                <w:b/>
                <w:color w:val="000000"/>
                <w:sz w:val="32"/>
              </w:rPr>
              <w:br w:type="textWrapping"/>
            </w:r>
            <w:r>
              <w:rPr>
                <w:rFonts w:ascii="宋体" w:hAnsi="宋体" w:eastAsia="宋体" w:cs="宋体"/>
                <w:b/>
                <w:color w:val="000000"/>
                <w:sz w:val="32"/>
              </w:rPr>
              <w:t>2023年第三季度报告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报告送出日期：2023年10月25日</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兴业银行“天天万利宝-稳利1号”净值型理财产品（12M）2023年第三季度报告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6.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兴业银行“天天万利宝-稳利1号”净值型理财产品（12M）2023年第三季度报告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r>
              <w:rPr>
                <w:rFonts w:ascii="仿宋" w:hAnsi="仿宋" w:eastAsia="仿宋" w:cs="仿宋"/>
                <w:color w:val="000000"/>
                <w:sz w:val="21"/>
              </w:rPr>
              <w:t xml:space="preserve"> 4. 投资组合情况（期末资产组合情况、杠杆比例、资产前十持仓等）详情请理财持有人登录网银后进行查询。</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兴业银行“天天万利宝-稳利1号”净值型理财产品（12M）</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9K218011</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Z7002020000005</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开放式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5,241,575,494.33份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9K218011：2.95%--4.05%/3.50%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2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稳利恒盈A 12个月</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9K218011（适用【A】份额）</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5,241,575,494.33</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须谨慎。</w:t>
            </w:r>
          </w:p>
        </w:tc>
        <w:tc>
          <w:p>
            <w:pPr>
              <w:pStyle w:val="4"/>
            </w:pPr>
          </w:p>
        </w:tc>
      </w:tr>
      <w:tr>
        <w:tblPrEx>
          <w:tblCellMar>
            <w:top w:w="0" w:type="dxa"/>
            <w:left w:w="10" w:type="dxa"/>
            <w:bottom w:w="0" w:type="dxa"/>
            <w:right w:w="10" w:type="dxa"/>
          </w:tblCellMar>
        </w:tblPrEx>
        <w:trPr>
          <w:gridAfter w:val="2"/>
          <w:trHeight w:val="57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兴业银行“天天万利宝-稳利1号”净值型理财产品（12M）2023年第三季度报告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产品9K218011自成立日以来，累计净值增长率为21.8730%，年化累计净值增长率为4.0220%。</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9K218011</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1.01285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1.21873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5,308,931,229.76</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9K218011（适用【A】份额）</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1.01285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1.21873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5,308,931,229.76</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赵天然女士，复旦大学经济学（数理经济方向）学士；复旦大学国际经济学硕士。具有8年固定收益领域投资交易经验。自2015年8月加入兴业银行以来，一直在资产管理事业部任投资经理，债券交易量近数千亿，交易能力出众；牵头固定收益投资部的利率债交易盘和信用债二级投资，擅长利率债波段和信用债价值挖掘；牵头固定收益投资部的宏观利率研究工作，对债券市场走势有深刻的理解。</w:t>
            </w:r>
          </w:p>
        </w:tc>
        <w:tc>
          <w:tcPr>
            <w:gridSpan w:val="4"/>
          </w:tcPr>
          <w:p>
            <w:pPr>
              <w:pStyle w:val="4"/>
            </w:pPr>
          </w:p>
        </w:tc>
        <w:tc>
          <w:p>
            <w:pPr>
              <w:pStyle w:val="4"/>
            </w:pPr>
          </w:p>
        </w:tc>
      </w:tr>
      <w:tr>
        <w:tblPrEx>
          <w:tblCellMar>
            <w:top w:w="0" w:type="dxa"/>
            <w:left w:w="10" w:type="dxa"/>
            <w:bottom w:w="0" w:type="dxa"/>
            <w:right w:w="10" w:type="dxa"/>
          </w:tblCellMar>
        </w:tblPrEx>
        <w:trPr>
          <w:trHeight w:val="557"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56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一、2023年三季度投资策略与运作回顾</w:t>
            </w:r>
            <w:r>
              <w:rPr>
                <w:rFonts w:ascii="宋体" w:hAnsi="宋体" w:eastAsia="宋体" w:cs="宋体"/>
                <w:color w:val="000000"/>
                <w:sz w:val="21"/>
              </w:rPr>
              <w:br w:type="textWrapping"/>
            </w:r>
            <w:r>
              <w:rPr>
                <w:rFonts w:ascii="宋体" w:hAnsi="宋体" w:eastAsia="宋体" w:cs="宋体"/>
                <w:color w:val="000000"/>
                <w:sz w:val="21"/>
              </w:rPr>
              <w:t xml:space="preserve">    2023年三季度债券利率呈现倒V走势，市场大致分为两个阶段：1）7月社融低于市场预期，社融公布后央行进行非对称降息，其中1年期MLF利率下调15BP至2.5%，7天逆回购利率下调10BP至1.8%，10年国债利率在降息后一度下降至2.54%附近；2）央行降息之后，社融企稳回升，8月社融公布数值31237亿，高于去年同期和市场预期，带动利率拐头向上，10年国债利率从最低点2.54%附近一度上行至2.7%左右。</w:t>
            </w:r>
            <w:r>
              <w:rPr>
                <w:rFonts w:ascii="宋体" w:hAnsi="宋体" w:eastAsia="宋体" w:cs="宋体"/>
                <w:color w:val="000000"/>
                <w:sz w:val="21"/>
              </w:rPr>
              <w:br w:type="textWrapping"/>
            </w:r>
            <w:r>
              <w:rPr>
                <w:rFonts w:ascii="宋体" w:hAnsi="宋体" w:eastAsia="宋体" w:cs="宋体"/>
                <w:color w:val="000000"/>
                <w:sz w:val="21"/>
              </w:rPr>
              <w:t xml:space="preserve">    收益率方面，三季度整体1年NCD、1年国债、10年国债、信用债3年AAA、3年AA+、3年AA分别较二季度末13bp、30bp、4bp、9bp、7bp、-4bp；信用利差方面3年AAA、3年AA+、3年AA较二季度末分别变动-5bp、-7bp、-18bp。</w:t>
            </w:r>
            <w:r>
              <w:rPr>
                <w:rFonts w:ascii="宋体" w:hAnsi="宋体" w:eastAsia="宋体" w:cs="宋体"/>
                <w:color w:val="000000"/>
                <w:sz w:val="21"/>
              </w:rPr>
              <w:br w:type="textWrapping"/>
            </w:r>
            <w:r>
              <w:rPr>
                <w:rFonts w:ascii="宋体" w:hAnsi="宋体" w:eastAsia="宋体" w:cs="宋体"/>
                <w:color w:val="000000"/>
                <w:sz w:val="21"/>
              </w:rPr>
              <w:t xml:space="preserve">    从基本面看，三季度是政策面出现显著拐点。三季度分别出台了促消费、减税、降息、认房不认贷、降低印花税、收紧IPO、放宽两融等等托底股市和经济基本面的政策，政策对于经济的支持力度可见一斑，不排除未来还有更进一步的重磅政策等待出台。</w:t>
            </w:r>
            <w:r>
              <w:rPr>
                <w:rFonts w:ascii="宋体" w:hAnsi="宋体" w:eastAsia="宋体" w:cs="宋体"/>
                <w:color w:val="000000"/>
                <w:sz w:val="21"/>
              </w:rPr>
              <w:br w:type="textWrapping"/>
            </w:r>
            <w:r>
              <w:rPr>
                <w:rFonts w:ascii="宋体" w:hAnsi="宋体" w:eastAsia="宋体" w:cs="宋体"/>
                <w:color w:val="000000"/>
                <w:sz w:val="21"/>
              </w:rPr>
              <w:t xml:space="preserve">    产品运作上，7月基于理财规模回流的逻辑，采取信用债杠杆+票息策略；8月在降息前后逐步进行止盈操作；9月在理财规模下降和债券下跌双重利空下，整体采取防守策略，保证产品流动性为主。整体看，票息资产仍是理财产品收益的最大来源，产品的主要策略仍是择高票息优质资产进行配置。</w:t>
            </w:r>
            <w:r>
              <w:rPr>
                <w:rFonts w:ascii="宋体" w:hAnsi="宋体" w:eastAsia="宋体" w:cs="宋体"/>
                <w:color w:val="000000"/>
                <w:sz w:val="21"/>
              </w:rPr>
              <w:br w:type="textWrapping"/>
            </w:r>
            <w:r>
              <w:rPr>
                <w:rFonts w:ascii="宋体" w:hAnsi="宋体" w:eastAsia="宋体" w:cs="宋体"/>
                <w:color w:val="000000"/>
                <w:sz w:val="21"/>
              </w:rPr>
              <w:t>二、2023四季度投资策略展望</w:t>
            </w:r>
            <w:r>
              <w:rPr>
                <w:rFonts w:ascii="宋体" w:hAnsi="宋体" w:eastAsia="宋体" w:cs="宋体"/>
                <w:color w:val="000000"/>
                <w:sz w:val="21"/>
              </w:rPr>
              <w:br w:type="textWrapping"/>
            </w:r>
            <w:r>
              <w:rPr>
                <w:rFonts w:ascii="宋体" w:hAnsi="宋体" w:eastAsia="宋体" w:cs="宋体"/>
                <w:color w:val="000000"/>
                <w:sz w:val="21"/>
              </w:rPr>
              <w:t xml:space="preserve">    四季度债市仍有希望反弹。三季度末在债券市场进行一轮调整后，当前已经具备一定的配置价值。虽然政策方面不排除仍有进一步出台的可能，但是从历史看，政策面的刺激前往往配合货币政策的放松，所以四季度流动性预计仍将保持合理充裕。基本面方面，经济数据尚在缓慢复苏，PMI、企业利润、贷款融资需求等方面开始出现积极信</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兴业银行“天天万利宝-稳利1号”净值型理财产品（12M）2023年第三季度报告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9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号，但地产、出口还在筑底，居民和企业收入和预期仍需时间修复，货币政策在复苏初期的环境下很难大幅收紧。但债券也并非完全没有利空，如果海外需求上行带动出口上行，将进一步带动企业融资上行，从而对债券利率造成压力。机构行为方面，今年债市整体涨幅较大，部分机构已基本完成今年的业绩目标，更多机构倾向于止盈操作，这将抬升市场波动率。</w:t>
            </w:r>
            <w:r>
              <w:rPr>
                <w:rFonts w:ascii="宋体" w:hAnsi="宋体" w:eastAsia="宋体" w:cs="宋体"/>
                <w:color w:val="000000"/>
                <w:sz w:val="21"/>
              </w:rPr>
              <w:br w:type="textWrapping"/>
            </w:r>
            <w:r>
              <w:rPr>
                <w:rFonts w:ascii="宋体" w:hAnsi="宋体" w:eastAsia="宋体" w:cs="宋体"/>
                <w:color w:val="000000"/>
                <w:sz w:val="21"/>
              </w:rPr>
              <w:t xml:space="preserve">    下阶段总体策略可以相对乐观，以套息和杠杆策略为主，偏低久期的组合适当抬升久期，注重组合流动性，继续提升组合静态，同时积极把握债市调整形成的波段操作机会博取超额收益，提高组合收益率。</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8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0.30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0.30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拆放同业及债券买入返售</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非标准化债权类资产</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29.34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29.34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68.47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68.47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报告期末本产品总资产未超过该产品净资产规模的140%，符合产品协议对本产品杠杆比例的要求。</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w:t>
            </w:r>
            <w:r>
              <w:rPr>
                <w:rFonts w:ascii="宋体" w:hAnsi="宋体" w:eastAsia="宋体" w:cs="宋体"/>
                <w:color w:val="000000"/>
                <w:sz w:val="21"/>
              </w:rPr>
              <w:br w:type="textWrapping"/>
            </w:r>
            <w:r>
              <w:rPr>
                <w:rFonts w:ascii="宋体" w:hAnsi="宋体" w:eastAsia="宋体" w:cs="宋体"/>
                <w:color w:val="000000"/>
                <w:sz w:val="21"/>
              </w:rPr>
              <w:t xml:space="preserve">    为防范无法支付赎回款而产生的流动性风险，本理财产品管理人将合理安排所投资产期限，持续根据市场变化情况做好投资安排，尽可能降低产品流动性风险，有效保障理财持有人利益。</w:t>
            </w:r>
            <w:r>
              <w:rPr>
                <w:rFonts w:ascii="宋体" w:hAnsi="宋体" w:eastAsia="宋体" w:cs="宋体"/>
                <w:color w:val="000000"/>
                <w:sz w:val="21"/>
              </w:rPr>
              <w:br w:type="textWrapping"/>
            </w:r>
            <w:r>
              <w:rPr>
                <w:rFonts w:ascii="宋体" w:hAnsi="宋体" w:eastAsia="宋体" w:cs="宋体"/>
                <w:color w:val="000000"/>
                <w:sz w:val="21"/>
              </w:rPr>
              <w:t xml:space="preserve">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4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兴业银行“天天万利宝-稳利1号”净值型理财产品（12M）2023年第三季度报告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664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山西信托·晋控煤业5号集合资金信托计划</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1,162,423,884.40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21.90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Z浙-同业借款20230518001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250,213,919.10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4.71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19农业银行永续债02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243,784,945.57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4.59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23宜昌城控MTN001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205,282,679.45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22CSFD152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204,382,953.42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23华电MTN004A(能源保供特别债)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202,094,382.51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22万科MTN005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178,959,982.19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23国开02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163,687,390.68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山东赫达（002810.SZ）可转债收益权投资-云南信托-金匠322号（融资人毕心德）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162,256,253.28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23广州农商行二级资本债01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135,644,653.99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2.56</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3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5.报告期间关联交易情况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5.1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23广州农商行二级资本债01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20柳州城投PPN002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20泰州城投PPN003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21金地MTN005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19乌城投MTN002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23晋焦煤MTN002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21武汉碧水GN001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18盐城城资MTN003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20南部新城MTN001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兴业银行“天天万利宝-稳利1号”净值型理财产品（12M）2023年第三季度报告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78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20汾湖投资MTN001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20漳州交运MTN002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21成都兴城MTN001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22兖矿能源MTN002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22岳阳城投MTN001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23宜昌城控MTN001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23岳阳城运MTN002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23海螺创业GN001BC</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23华电MTN004A(能源保供特别债)</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22狮产01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23联发集SCP003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23新中泰集SCP001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23盐城交通CP001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5.2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兴业银行“天天万利宝-稳利1号”净值型理财产品（12M）</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117.06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销售服务费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兴业银行“天天万利宝-稳利1号”净值型理财产品（12M）</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兴瀚资管-兴元18号集合资产管理计划</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0.46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管理费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上海兴瀚资产管理有限公司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5.3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6.投资账户信息</w:t>
            </w:r>
          </w:p>
        </w:tc>
        <w:tc>
          <w:p>
            <w:pPr>
              <w:pStyle w:val="4"/>
            </w:pPr>
          </w:p>
        </w:tc>
      </w:tr>
      <w:tr>
        <w:tblPrEx>
          <w:tblCellMar>
            <w:top w:w="0" w:type="dxa"/>
            <w:left w:w="10" w:type="dxa"/>
            <w:bottom w:w="0" w:type="dxa"/>
            <w:right w:w="10" w:type="dxa"/>
          </w:tblCellMar>
        </w:tblPrEx>
        <w:trPr>
          <w:trHeight w:val="164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7" w:name="JR_PAGE_ANCHOR_0_8"/>
            <w:bookmarkEnd w:id="7"/>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兴业银行“天天万利宝-稳利1号”净值型理财产品（12M）2023年第三季度报告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051010100100574261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兴业银行理财托管专户天天万利宝稳利1号净值型理财产品</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2023年10月25日</w:t>
            </w:r>
          </w:p>
        </w:tc>
        <w:tc>
          <w:tcPr>
            <w:gridSpan w:val="4"/>
          </w:tcPr>
          <w:p>
            <w:pPr>
              <w:pStyle w:val="4"/>
            </w:pPr>
          </w:p>
        </w:tc>
        <w:tc>
          <w:p>
            <w:pPr>
              <w:pStyle w:val="4"/>
            </w:pPr>
          </w:p>
        </w:tc>
      </w:tr>
      <w:tr>
        <w:tblPrEx>
          <w:tblCellMar>
            <w:top w:w="0" w:type="dxa"/>
            <w:left w:w="10" w:type="dxa"/>
            <w:bottom w:w="0" w:type="dxa"/>
            <w:right w:w="10" w:type="dxa"/>
          </w:tblCellMar>
        </w:tblPrEx>
        <w:trPr>
          <w:trHeight w:val="1184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4"/>
          </w:tcPr>
          <w:p>
            <w:pPr>
              <w:pStyle w:val="4"/>
            </w:pPr>
          </w:p>
        </w:tc>
        <w:tc>
          <w:p>
            <w:pPr>
              <w:pStyle w:val="4"/>
            </w:pPr>
          </w:p>
        </w:tc>
      </w:tr>
    </w:tbl>
    <w:p/>
    <w:sectPr>
      <w:pgSz w:w="11900" w:h="16840"/>
      <w:pgMar w:top="600" w:right="560" w:bottom="240" w:left="6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cumentProtection w:enforcement="0"/>
  <w:defaultTabStop w:val="800"/>
  <w:compat>
    <w:useFELayout/>
    <w:splitPgBreakAndParaMark/>
    <w:compatSetting w:name="compatibilityMode" w:uri="http://schemas.microsoft.com/office/word" w:val="12"/>
  </w:compat>
  <w:rsids>
    <w:rsidRoot w:val="00000000"/>
    <w:rsid w:val="2BEC2E6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3_TH"/>
    <w:qFormat/>
    <w:uiPriority w:val="0"/>
    <w:pPr>
      <w:spacing w:line="240" w:lineRule="auto"/>
    </w:pPr>
    <w:rPr>
      <w:rFonts w:ascii="SansSerif" w:hAnsi="SansSerif" w:eastAsia="SansSerif" w:cs="SansSerif"/>
      <w:color w:val="000000"/>
      <w:sz w:val="20"/>
      <w:szCs w:val="22"/>
    </w:rPr>
  </w:style>
  <w:style w:type="paragraph" w:customStyle="1" w:styleId="10">
    <w:name w:val="Table 3_CH"/>
    <w:qFormat/>
    <w:uiPriority w:val="0"/>
    <w:pPr>
      <w:spacing w:line="240" w:lineRule="auto"/>
    </w:pPr>
    <w:rPr>
      <w:rFonts w:ascii="SansSerif" w:hAnsi="SansSerif" w:eastAsia="SansSerif" w:cs="SansSerif"/>
      <w:color w:val="000000"/>
      <w:sz w:val="20"/>
      <w:szCs w:val="22"/>
    </w:rPr>
  </w:style>
  <w:style w:type="paragraph" w:customStyle="1" w:styleId="11">
    <w:name w:val="Table 3_TD"/>
    <w:qFormat/>
    <w:uiPriority w:val="0"/>
    <w:pPr>
      <w:spacing w:line="240" w:lineRule="auto"/>
    </w:pPr>
    <w:rPr>
      <w:rFonts w:ascii="SansSerif" w:hAnsi="SansSerif" w:eastAsia="SansSerif" w:cs="SansSerif"/>
      <w:color w:val="000000"/>
      <w:sz w:val="20"/>
      <w:szCs w:val="22"/>
    </w:rPr>
  </w:style>
  <w:style w:type="paragraph" w:customStyle="1" w:styleId="12">
    <w:name w:val="Table 4_TH"/>
    <w:qFormat/>
    <w:uiPriority w:val="0"/>
    <w:pPr>
      <w:spacing w:line="240" w:lineRule="auto"/>
    </w:pPr>
    <w:rPr>
      <w:rFonts w:ascii="SansSerif" w:hAnsi="SansSerif" w:eastAsia="SansSerif" w:cs="SansSerif"/>
      <w:color w:val="000000"/>
      <w:sz w:val="20"/>
      <w:szCs w:val="22"/>
    </w:rPr>
  </w:style>
  <w:style w:type="paragraph" w:customStyle="1" w:styleId="13">
    <w:name w:val="Table 4_CH"/>
    <w:qFormat/>
    <w:uiPriority w:val="0"/>
    <w:pPr>
      <w:spacing w:line="240" w:lineRule="auto"/>
    </w:pPr>
    <w:rPr>
      <w:rFonts w:ascii="SansSerif" w:hAnsi="SansSerif" w:eastAsia="SansSerif" w:cs="SansSerif"/>
      <w:color w:val="000000"/>
      <w:sz w:val="20"/>
      <w:szCs w:val="22"/>
    </w:rPr>
  </w:style>
  <w:style w:type="paragraph" w:customStyle="1" w:styleId="14">
    <w:name w:val="Table 4_TD"/>
    <w:qFormat/>
    <w:uiPriority w:val="0"/>
    <w:pPr>
      <w:spacing w:line="240" w:lineRule="auto"/>
    </w:pPr>
    <w:rPr>
      <w:rFonts w:ascii="SansSerif" w:hAnsi="SansSerif" w:eastAsia="SansSerif" w:cs="SansSerif"/>
      <w:color w:val="000000"/>
      <w:sz w:val="20"/>
      <w:szCs w:val="22"/>
    </w:rPr>
  </w:style>
  <w:style w:type="paragraph" w:customStyle="1" w:styleId="15">
    <w:name w:val="Table 1_TH"/>
    <w:qFormat/>
    <w:uiPriority w:val="0"/>
    <w:pPr>
      <w:spacing w:line="240" w:lineRule="auto"/>
    </w:pPr>
    <w:rPr>
      <w:rFonts w:ascii="SansSerif" w:hAnsi="SansSerif" w:eastAsia="SansSerif" w:cs="SansSerif"/>
      <w:color w:val="000000"/>
      <w:sz w:val="20"/>
      <w:szCs w:val="22"/>
    </w:rPr>
  </w:style>
  <w:style w:type="paragraph" w:customStyle="1" w:styleId="16">
    <w:name w:val="Table 1_CH"/>
    <w:qFormat/>
    <w:uiPriority w:val="0"/>
    <w:pPr>
      <w:spacing w:line="240" w:lineRule="auto"/>
    </w:pPr>
    <w:rPr>
      <w:rFonts w:ascii="SansSerif" w:hAnsi="SansSerif" w:eastAsia="SansSerif" w:cs="SansSerif"/>
      <w:color w:val="000000"/>
      <w:sz w:val="20"/>
      <w:szCs w:val="22"/>
    </w:rPr>
  </w:style>
  <w:style w:type="paragraph" w:customStyle="1" w:styleId="17">
    <w:name w:val="Table 1_TD"/>
    <w:qFormat/>
    <w:uiPriority w:val="0"/>
    <w:pPr>
      <w:spacing w:line="240" w:lineRule="auto"/>
    </w:pPr>
    <w:rPr>
      <w:rFonts w:ascii="SansSerif" w:hAnsi="SansSerif" w:eastAsia="SansSerif" w:cs="SansSerif"/>
      <w:color w:val="000000"/>
      <w:sz w:val="20"/>
      <w:szCs w:val="22"/>
    </w:rPr>
  </w:style>
  <w:style w:type="paragraph" w:customStyle="1" w:styleId="18">
    <w:name w:val="Table 2_TH"/>
    <w:qFormat/>
    <w:uiPriority w:val="0"/>
    <w:pPr>
      <w:spacing w:line="240" w:lineRule="auto"/>
    </w:pPr>
    <w:rPr>
      <w:rFonts w:ascii="SansSerif" w:hAnsi="SansSerif" w:eastAsia="SansSerif" w:cs="SansSerif"/>
      <w:color w:val="000000"/>
      <w:sz w:val="20"/>
      <w:szCs w:val="22"/>
    </w:rPr>
  </w:style>
  <w:style w:type="paragraph" w:customStyle="1" w:styleId="19">
    <w:name w:val="Table 2_CH"/>
    <w:qFormat/>
    <w:uiPriority w:val="0"/>
    <w:pPr>
      <w:spacing w:line="240" w:lineRule="auto"/>
    </w:pPr>
    <w:rPr>
      <w:rFonts w:ascii="SansSerif" w:hAnsi="SansSerif" w:eastAsia="SansSerif" w:cs="SansSerif"/>
      <w:color w:val="000000"/>
      <w:sz w:val="20"/>
      <w:szCs w:val="22"/>
    </w:rPr>
  </w:style>
  <w:style w:type="paragraph" w:customStyle="1" w:styleId="20">
    <w:name w:val="Table 2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2023-10-24T09:47:02Z</dcterms:created>
  <dc:creator>hansonghua</dc:creator>
  <cp:lastModifiedBy>hansonghua</cp:lastModifiedBy>
  <dcterms:modified xsi:type="dcterms:W3CDTF">2023-10-24T09:47:51Z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