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天天万利宝稳利2号净值型理财产品E款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天天万利宝稳利2号净值型理财产品E款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9K218032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5,727,262,215.02份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9K218032：2.50%--3.80%/3.15%</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稳利恒盈E 6个月</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9K218032（适用【A】份额）</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5,727,262,215.02</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产品9K218032自成立日以来，累计净值增长率为18.3280%，年化累计净值增长率为3.6616%。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9K218032</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5,729,883,760.71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9K218032（适用【A】份额）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1.18328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5,729,883,760.71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罗琦先生，上海财经大学硕士，10年券商和银行债券投资交易经验。2019年加入兴业银行资管，担任债券投资经理，主要负责纯债和股债混合产品投资管理工作。目前管理多只银行净值型理财产品，投资风格稳健，过往业绩优异。对宏观及利率走势有深入的研究，注重各类资产风险收益比，善于利用各类策略获取超额收益。</w:t>
            </w:r>
          </w:p>
        </w:tc>
        <w:tc>
          <w:tcPr>
            <w:gridSpan w:val="4"/>
          </w:tcPr>
          <w:p>
            <w:pPr>
              <w:pStyle w:val="4"/>
            </w:pPr>
          </w:p>
        </w:tc>
        <w:tc>
          <w:p>
            <w:pPr>
              <w:pStyle w:val="4"/>
            </w:pPr>
          </w:p>
        </w:tc>
      </w:tr>
      <w:tr>
        <w:tblPrEx>
          <w:tblCellMar>
            <w:top w:w="0" w:type="dxa"/>
            <w:left w:w="10" w:type="dxa"/>
            <w:bottom w:w="0" w:type="dxa"/>
            <w:right w:w="10" w:type="dxa"/>
          </w:tblCellMar>
        </w:tblPrEx>
        <w:trPr>
          <w:trHeight w:val="4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9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5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3.78</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金融衍生品</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0.85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26.75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53.59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54.25</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徽商银行宁波分行大额存单02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521,521,257.96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442,628,184.92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19华夏银行永续债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390,460,193.55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定期存款20230328006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203,169,852.71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190,062,846.84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19广发银行永续债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152,503,372.60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Z存放同业（线上）20230914008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140,171,888.87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S21广扶2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104,979,693.15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20洪山城投PPN003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104,444,747.95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102,232,609.59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21江津城建MTN001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20青岛水务GN001(蓝债)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23美的置业MTN003(绿色)</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21富皋万泰PPN001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19中信银行永续债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红塔证券股份有限公司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天天万利宝稳利2号净值型理财产品E款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天天万利宝稳利2号净值型理财产品E款2023年第三季度报告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20成都开投PPN002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中证信用增进股份有限公司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051010100100688148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兴业银行理财托管专户天天万利宝稳利2号净值型理财产品E款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8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617873CE"/>
    <w:rsid w:val="61CC6C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2023-10-24T01:56:00Z</dcterms:created>
  <dc:creator>wot_weixiaojun_zy</dc:creator>
  <cp:lastModifiedBy>wot_weixiaojun_zy</cp:lastModifiedBy>
  <dcterms:modified xsi:type="dcterms:W3CDTF">2023-10-24T02:23:12Z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