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华夏理财固定收益纯债型一年定开理财产品</w:t>
      </w:r>
      <w:r>
        <w:rPr>
          <w:rFonts w:hint="eastAsia" w:eastAsia="黑体"/>
          <w:bCs/>
          <w:kern w:val="2"/>
          <w:sz w:val="36"/>
          <w:szCs w:val="36"/>
          <w:lang w:val="en-US" w:eastAsia="zh-CN"/>
        </w:rPr>
        <w:t>8</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w:t>
            </w:r>
            <w:r>
              <w:rPr>
                <w:rFonts w:hint="eastAsia" w:ascii="仿宋" w:hAnsi="仿宋" w:eastAsia="仿宋"/>
                <w:bCs/>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B（招商银行销售代码：HX02020</w:t>
            </w:r>
            <w:r>
              <w:rPr>
                <w:rFonts w:hint="eastAsia" w:ascii="仿宋" w:hAnsi="仿宋" w:eastAsia="仿宋"/>
                <w:bCs/>
                <w:szCs w:val="21"/>
                <w:lang w:val="en-US" w:eastAsia="zh-CN"/>
              </w:rPr>
              <w:t>6</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w:t>
            </w:r>
            <w:r>
              <w:rPr>
                <w:rFonts w:hint="eastAsia" w:ascii="仿宋" w:hAnsi="仿宋" w:eastAsia="仿宋"/>
                <w:bCs/>
                <w:szCs w:val="21"/>
                <w:lang w:val="en-US" w:eastAsia="zh-CN"/>
              </w:rPr>
              <w:t>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2.30%-2</w:t>
            </w:r>
            <w:r>
              <w:rPr>
                <w:rFonts w:ascii="仿宋" w:hAnsi="仿宋" w:eastAsia="仿宋" w:cs="Cambria"/>
                <w:bCs/>
                <w:szCs w:val="21"/>
              </w:rPr>
              <w:t>.</w:t>
            </w:r>
            <w:r>
              <w:rPr>
                <w:rFonts w:hint="eastAsia" w:ascii="仿宋" w:hAnsi="仿宋" w:eastAsia="仿宋" w:cs="Cambria"/>
                <w:bCs/>
                <w:szCs w:val="21"/>
                <w:lang w:val="en-US" w:eastAsia="zh-CN"/>
              </w:rPr>
              <w:t>9</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3.</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rPr>
              <w:t>（年化）。以产品投资现金及利率债仓位0-10%，信用债仓位90%-130%，组合杠杆率100%-1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中债-利率债总财富指数、中债-信用债总财富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1</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2</w:t>
            </w:r>
            <w:r>
              <w:rPr>
                <w:rFonts w:hint="eastAsia" w:ascii="仿宋" w:hAnsi="仿宋" w:eastAsia="仿宋"/>
                <w:bCs/>
                <w:szCs w:val="21"/>
                <w:lang w:val="en-US" w:eastAsia="zh-CN"/>
              </w:rPr>
              <w:t>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hint="eastAsia" w:ascii="仿宋" w:hAnsi="仿宋" w:eastAsia="仿宋"/>
                <w:b/>
                <w:bCs/>
                <w:szCs w:val="21"/>
                <w:highlight w:val="none"/>
                <w:lang w:val="en-US" w:eastAsia="zh-CN"/>
              </w:rPr>
              <w:t>2</w:t>
            </w:r>
            <w:r>
              <w:rPr>
                <w:rFonts w:ascii="仿宋" w:hAnsi="仿宋" w:eastAsia="仿宋"/>
                <w:b/>
                <w:bCs/>
                <w:szCs w:val="21"/>
                <w:highlight w:val="none"/>
              </w:rPr>
              <w:t>.</w:t>
            </w:r>
            <w:r>
              <w:rPr>
                <w:rFonts w:hint="eastAsia" w:ascii="仿宋" w:hAnsi="仿宋" w:eastAsia="仿宋"/>
                <w:b/>
                <w:bCs/>
                <w:szCs w:val="21"/>
                <w:highlight w:val="none"/>
                <w:lang w:val="en-US" w:eastAsia="zh-CN"/>
              </w:rPr>
              <w:t>9</w:t>
            </w:r>
            <w:r>
              <w:rPr>
                <w:rFonts w:ascii="仿宋" w:hAnsi="仿宋" w:eastAsia="仿宋"/>
                <w:b/>
                <w:bCs/>
                <w:szCs w:val="21"/>
                <w:highlight w:val="none"/>
              </w:rPr>
              <w:t>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0</w:t>
            </w:r>
            <w:r>
              <w:rPr>
                <w:rFonts w:ascii="仿宋" w:hAnsi="仿宋" w:eastAsia="仿宋"/>
                <w:b/>
                <w:bCs/>
                <w:szCs w:val="21"/>
                <w:highlight w:val="none"/>
              </w:rPr>
              <w:t>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2" w:firstLineChars="200"/>
        <w:contextualSpacing/>
        <w:jc w:val="left"/>
        <w:rPr>
          <w:rFonts w:hint="eastAsia" w:ascii="仿宋" w:hAnsi="仿宋" w:eastAsia="仿宋" w:cs="宋体"/>
          <w:color w:val="000000"/>
          <w:kern w:val="0"/>
          <w:sz w:val="24"/>
        </w:rPr>
      </w:pPr>
      <w:r>
        <w:rPr>
          <w:rFonts w:hint="eastAsia" w:ascii="仿宋" w:hAnsi="仿宋" w:eastAsia="仿宋" w:cs="宋体"/>
          <w:b/>
          <w:bCs/>
          <w:color w:val="000000"/>
          <w:kern w:val="0"/>
          <w:sz w:val="24"/>
        </w:rPr>
        <w:t>本产品如投资不存在活跃交易市场，并且需要采用估值技术确定公允价值的资产，则对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比例将不超过理财产品净资产的50%。非因产品管理人主观因素导致突破前款约定的比例限制的，本产品将</w:t>
      </w:r>
      <w:r>
        <w:rPr>
          <w:rFonts w:ascii="仿宋" w:hAnsi="仿宋" w:eastAsia="仿宋" w:cs="宋体"/>
          <w:b/>
          <w:bCs/>
          <w:color w:val="000000"/>
          <w:kern w:val="0"/>
          <w:sz w:val="24"/>
        </w:rPr>
        <w:t>在上述因素影响消除前</w:t>
      </w:r>
      <w:r>
        <w:rPr>
          <w:rFonts w:hint="eastAsia" w:ascii="仿宋" w:hAnsi="仿宋" w:eastAsia="仿宋" w:cs="宋体"/>
          <w:b/>
          <w:bCs/>
          <w:color w:val="000000"/>
          <w:kern w:val="0"/>
          <w:sz w:val="24"/>
        </w:rPr>
        <w:t>不再新增投资上述资产。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lang w:eastAsia="zh-CN"/>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管理人应当自理财产品成立日起</w:t>
      </w:r>
      <w:r>
        <w:rPr>
          <w:rFonts w:ascii="仿宋" w:hAnsi="仿宋" w:eastAsia="仿宋" w:cs="宋体"/>
          <w:b/>
          <w:bCs/>
          <w:kern w:val="0"/>
          <w:sz w:val="24"/>
        </w:rPr>
        <w:t>1</w:t>
      </w:r>
      <w:r>
        <w:rPr>
          <w:rFonts w:hint="eastAsia" w:ascii="仿宋" w:hAnsi="仿宋" w:eastAsia="仿宋" w:cs="宋体"/>
          <w:b/>
          <w:bCs/>
          <w:kern w:val="0"/>
          <w:sz w:val="24"/>
        </w:rPr>
        <w:t>个月内使理财产品的投资比例符合上述约定。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6DCF3"/>
    <w:multiLevelType w:val="singleLevel"/>
    <w:tmpl w:val="6606DCF3"/>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D4D61"/>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96EF2"/>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35729"/>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7F63129"/>
    <w:rsid w:val="08497BE8"/>
    <w:rsid w:val="087A37FC"/>
    <w:rsid w:val="08961A5A"/>
    <w:rsid w:val="08A96CC2"/>
    <w:rsid w:val="08CC1E87"/>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0F053D7"/>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58773EF"/>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3D122D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DD1B25"/>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3F4875"/>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875D9D"/>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uiPriority w:val="0"/>
    <w:rPr>
      <w:sz w:val="21"/>
      <w:szCs w:val="21"/>
    </w:rPr>
  </w:style>
  <w:style w:type="paragraph" w:customStyle="1" w:styleId="15">
    <w:name w:val="_Style 14"/>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2945</Words>
  <Characters>16793</Characters>
  <Lines>139</Lines>
  <Paragraphs>39</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2023-02-16T11:02:00Z</dcterms:created>
  <dc:creator>ylh</dc:creator>
  <cp:keywords>新版</cp:keywords>
  <cp:lastModifiedBy>马宁</cp:lastModifiedBy>
  <dcterms:modified xsi:type="dcterms:W3CDTF">2024-05-08T09:58:33Z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