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</w:rPr>
        <w:t>关于代销苏银理财恒源封闭债权</w:t>
      </w:r>
      <w:r>
        <w:rPr>
          <w:rFonts w:hint="eastAsia" w:ascii="宋体" w:hAnsi="宋体" w:eastAsia="宋体" w:cs="宋体"/>
          <w:b/>
          <w:bCs/>
          <w:sz w:val="36"/>
          <w:lang w:eastAsia="zh-CN"/>
        </w:rPr>
        <w:t>12</w:t>
      </w:r>
      <w:r>
        <w:rPr>
          <w:rFonts w:hint="eastAsia" w:ascii="宋体" w:hAnsi="宋体" w:eastAsia="宋体" w:cs="宋体"/>
          <w:b/>
          <w:bCs/>
          <w:sz w:val="36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lang w:eastAsia="zh-CN"/>
        </w:rPr>
        <w:t>期</w:t>
      </w:r>
      <w:r>
        <w:rPr>
          <w:rFonts w:hint="eastAsia" w:ascii="宋体" w:hAnsi="宋体" w:eastAsia="宋体" w:cs="宋体"/>
          <w:b/>
          <w:bCs/>
          <w:sz w:val="36"/>
        </w:rPr>
        <w:t>的通知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left"/>
        <w:rPr>
          <w:rFonts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各分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(支)行：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3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我行代销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苏银理财有限责任公司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发行的苏银理财恒源封闭债权129期将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333333"/>
          <w:spacing w:val="-1"/>
          <w:sz w:val="31"/>
          <w:szCs w:val="31"/>
          <w:bdr w:val="none" w:color="auto" w:sz="0" w:space="0"/>
          <w:shd w:val="clear" w:fill="FFFFFF"/>
        </w:rPr>
        <w:t>于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2024年8月13日9:00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333333"/>
          <w:spacing w:val="-1"/>
          <w:sz w:val="31"/>
          <w:szCs w:val="31"/>
          <w:bdr w:val="none" w:color="auto" w:sz="0" w:space="0"/>
          <w:shd w:val="clear" w:fill="FFFFFF"/>
        </w:rPr>
        <w:t>至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2024年8月19日17:00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333333"/>
          <w:spacing w:val="-1"/>
          <w:sz w:val="31"/>
          <w:szCs w:val="31"/>
          <w:bdr w:val="none" w:color="auto" w:sz="0" w:space="0"/>
          <w:shd w:val="clear" w:fill="FFFFFF"/>
        </w:rPr>
        <w:t>销售，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目前在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柜面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和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手机银行</w:t>
      </w: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等销售。销售服务费率为0.2%/年。部分要素如下：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2"/>
        <w:gridCol w:w="6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产品名称</w:t>
            </w:r>
          </w:p>
        </w:tc>
        <w:tc>
          <w:tcPr>
            <w:tcW w:w="6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苏银理财恒源封闭债权129期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理财产品登记编码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60" w:lineRule="atLeast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Z7003124000103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60" w:lineRule="atLeast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（投资者可依据该编码在中国理财网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FF"/>
                <w:spacing w:val="-1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FF"/>
                <w:spacing w:val="-1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"http://www.chinawealth.com.cn/" </w:instrTex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FF"/>
                <w:spacing w:val="-1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FF"/>
                <w:spacing w:val="-1"/>
                <w:sz w:val="24"/>
                <w:szCs w:val="24"/>
                <w:u w:val="none"/>
                <w:bdr w:val="none" w:color="auto" w:sz="0" w:space="0"/>
              </w:rPr>
              <w:t>www.chinawealth.com.cn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FF"/>
                <w:spacing w:val="-1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查询产品信息）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销售简称/销售代码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B份额：苏银理财恒源封闭债权129期12月B/J03482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产品管理人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苏银理财有限责任公司，详见下文“二、产品管理人”。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产品托管人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江苏银行股份有限公司，详见下文“十三、产品托管人”。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销售机构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详见下文“三、销售机构”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产品内部风险评级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u w:val="single"/>
                <w:bdr w:val="none" w:color="auto" w:sz="0" w:space="0"/>
              </w:rPr>
              <w:t>1、★★二级，</w:t>
            </w: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本评级为苏银理财有限责任公司内部评级，由苏银理财根据理财产品的投资组合、同类产品过往业绩和风险状况等因素，对理财产品进行评级，仅供客户参考。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2、如本产品通过代理销售机构渠道销售，代理销售机构应当根据本机构的方式和方法，依据理财产品的投资组合、同类产品过往业绩和风险状况等因素，独立、审慎地对代理销售的理财产品进行销售评级，并向苏银理财及时、准确提供本机构销售评级结果等信息。销售评级与苏银理财产品评级结果不一致的，代理销售机构应当采用对应较高风险等级的评级结果并予以披露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u w:val="single"/>
                <w:bdr w:val="none" w:color="auto" w:sz="0" w:space="0"/>
              </w:rPr>
              <w:t>3、如本产品通过代理销售机构渠道销售，理财产品评级以代理销售机构最终披露的评级结果为准。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FF0000"/>
                <w:spacing w:val="-1"/>
                <w:sz w:val="19"/>
                <w:szCs w:val="19"/>
                <w:bdr w:val="none" w:color="auto" w:sz="0" w:space="0"/>
              </w:rPr>
              <w:t>4、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FF0000"/>
                <w:spacing w:val="-1"/>
                <w:sz w:val="19"/>
                <w:szCs w:val="19"/>
                <w:bdr w:val="none" w:color="auto" w:sz="0" w:space="0"/>
              </w:rPr>
              <w:t>紫金农商银行对本产品的风险评级为中低风险。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收益类型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净值型（非保本浮动收益）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产品类型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u w:val="single"/>
                <w:bdr w:val="none" w:color="auto" w:sz="0" w:space="0"/>
              </w:rPr>
              <w:t>固定收益类、公募、封闭式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销售对象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面向个人和机构投资者销售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募集币种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人民币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计划发行规模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计划发行总规模：6亿份。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募集过程中管理人有权根据产品的募集情况调整计划发行规模。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认购起点/追加金额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投资者单笔</w:t>
            </w: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认购起点金额为1元，追加金额为1元的整数倍。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认购资金的清算和认购份额的计算详见下文“八、产品认购”。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份额面值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1元/份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募集期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2024年8月13日9:00至2024年8月19日17:00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管理人在法律允许的范围内保留延长或提前终止产品募集期的权利。如有变动，实际产品募集期以管理人公告为准。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产品成立日/份额登记日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2024年8月20日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若产品认购份额未达到最低发行总规模3000万，或新的法律、法规导致本产品无法合法合规运行，或出现其他导致影响产品成立不可抗力因素，产品管理人有权利但无义务宣布产品不成立，并于产品募集期结束后5个工作日内将投资者认购资金返还至投资者资金账户，募集期及资金在途期间投资者投资本金不计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产品到期日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2025年8月29日（如遇节假日，顺延至下一工作日）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在符合产品说明书约定的条件下，管理人有权提前终止该产品，产品到期日受制于提前终止条款。详见下文“十、产品的终止与清算”。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产品存续期限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374天（以理财产品实际存续天数为准），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u w:val="single"/>
                <w:bdr w:val="none" w:color="auto" w:sz="0" w:space="0"/>
              </w:rPr>
              <w:t>本产品运行期间，不开放申购、赎回。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单个客户持有份额上限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单一投资者持有份额不得超过总份额50%；非因主观因素导致突破前款规定比例限制的，在单一投资者持有份额占理财产品总份额比例降至50%以下之前，不再接受该单一投资者对理财产品的认购申请。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业绩比较基准（年化）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75" w:afterAutospacing="0" w:line="240" w:lineRule="auto"/>
              <w:ind w:left="15" w:right="75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u w:val="single"/>
                <w:bdr w:val="none" w:color="auto" w:sz="0" w:space="0"/>
              </w:rPr>
              <w:t>苏银理财参考过往投资经验，依据近期货币市场工具、债券、非标准化债权等资产投资收益水平，在产品说明书约定的投资范围和投资比例内，综合考虑各份额收取的销售服务费和投资管理费的情况，模拟测算得出业绩比较基准。本产品各份额因收取的销售服务费和投资管理费存在差异，业绩比较基准设置将有所不同。</w:t>
            </w: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各份额业绩比较基准如下：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75"/>
              <w:jc w:val="both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B份额：年化2.80%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u w:val="single"/>
                <w:bdr w:val="none" w:color="auto" w:sz="0" w:space="0"/>
              </w:rPr>
              <w:t>本产品为净值型产品，业绩表现将随市场波动，具有不确定性。业绩比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u w:val="single"/>
                <w:bdr w:val="none" w:color="auto" w:sz="0" w:space="0"/>
              </w:rPr>
              <w:t>较基准为管理人对本产品所设定的投资目标，不代表理财产品未来表现，不等于理财产品实际收益，不构成管理人对产品实际投资收益率的承诺或担保，投资者的实际收益由产品净值表现决定。产品存续期内管理人有权根据市场情况调整业绩比较基准，如有调整以管理人公告为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产品费用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本产品费用包括托管费、销售服务费、投资管理费、超额业绩报酬（如有）以及产品运作和清算中产生的其他费用等。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1.托管费率：0.02%/年；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2.销售服务费率：A份额0.10%/年，B份额0.20%/年，C份额0.40%/年；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3.投资管理费率：0.25%/年；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4.超额业绩报酬：若产品各份额实际投资收益在扣除托管费、销售服务费、投资管理费、运作产品所必须缴纳的税费后超过各份额业绩比较基准，产品管理人将按照超出部分的60%收取超额业绩报酬。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产品存续期内理财产品将每日暂估超额业绩报酬，仅用于理财产品会计核算，并将扣除“暂估超额业绩报酬”后的理财产品份额净值按照说明书约定向投资者进行披露。理财产品实际的超额业绩报酬以到期日计提核算的数值为准。计算累计年化收益率和业绩比较基准时，1年按365日计算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产品存续期内苏银理财可对费用进行调整，实际收取费率以管理人公告为准。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u w:val="single"/>
                <w:bdr w:val="none" w:color="auto" w:sz="0" w:space="0"/>
              </w:rPr>
              <w:t>本产品设置有多个份额，各份额按照设置的销售对象和销售起点进行销售，各份额实际收取的销售服务费率和投资管理费率可能存在差异，客户根据产品销售时设置的条件自主选择购买。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估值日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每周估值，并于估值日后第2个工作日内，通过本产品说明书约定方式披露产品单位净值。详见下文“九、产品估值”。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信息披露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管理人将按照《产品说明书》中约定的方式进行信息披露，详见下文“十四、信息披露”。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收益分配</w:t>
            </w:r>
          </w:p>
        </w:tc>
        <w:tc>
          <w:tcPr>
            <w:tcW w:w="6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本产品无分红机制，投资运作情况体现为产品净值变化。产品投资运作到期，投资收益扣除相关费用后，全部分配给投资者。详见下文“十、产品的终止与清算”。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75" w:afterAutospacing="0" w:line="240" w:lineRule="auto"/>
              <w:ind w:left="60" w:right="0"/>
              <w:jc w:val="both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-2"/>
                <w:sz w:val="21"/>
                <w:szCs w:val="21"/>
                <w:bdr w:val="none" w:color="auto" w:sz="0" w:space="0"/>
              </w:rPr>
              <w:t>税款</w:t>
            </w:r>
          </w:p>
        </w:tc>
        <w:tc>
          <w:tcPr>
            <w:tcW w:w="6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95" w:afterAutospacing="0" w:line="240" w:lineRule="auto"/>
              <w:ind w:left="60" w:right="75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-2"/>
                <w:sz w:val="22"/>
                <w:szCs w:val="22"/>
                <w:bdr w:val="none" w:color="auto" w:sz="0" w:space="0"/>
              </w:rPr>
              <w:t>本产品运作过程中涉及的各纳税主体，其纳税义务按国家税收法律、法规执行。详见下文“十二、税收规定”。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30"/>
        <w:jc w:val="center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FF0000"/>
          <w:spacing w:val="-1"/>
          <w:sz w:val="31"/>
          <w:szCs w:val="31"/>
          <w:bdr w:val="none" w:color="auto" w:sz="0" w:space="0"/>
          <w:shd w:val="clear" w:fill="FFFFFF"/>
        </w:rPr>
        <w:t>（更多具体要素请详阅产品说明书）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注意事项：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1.该产品销售要求参照我行自营理财销售相关规定执行。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2.相关产品销售文件见附件。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3.如有其他未尽事宜以私人银行部解释为准。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附件：1.“苏银理财恒源封闭债权129期”理财产品说明书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160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2. 理财产品代理销售协议书、苏银理财有限责任公司理财产品投资协议书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160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3.“苏银理财恒源封闭债权129期”理财产品风险揭示书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160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4.苏银理财有限责任公司投资者权益须知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160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5. 个人客户风险承受能力评估表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1600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6. 机构客户风险承受能力评估表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45"/>
        <w:jc w:val="lef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5760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私人银行部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5445"/>
        <w:jc w:val="right"/>
        <w:rPr>
          <w:rFonts w:hint="default" w:ascii="Tahoma" w:hAnsi="Tahoma" w:eastAsia="Tahoma" w:cs="Tahoma"/>
          <w:i w:val="0"/>
          <w:iCs w:val="0"/>
          <w:caps w:val="0"/>
          <w:color w:val="333333"/>
          <w:spacing w:val="-1"/>
          <w:sz w:val="22"/>
          <w:szCs w:val="22"/>
        </w:rPr>
      </w:pPr>
      <w:r>
        <w:rPr>
          <w:rFonts w:hint="eastAsia" w:ascii="仿宋_GB2312" w:hAnsi="Tahoma" w:eastAsia="仿宋_GB2312" w:cs="仿宋_GB2312"/>
          <w:i w:val="0"/>
          <w:iCs w:val="0"/>
          <w:caps w:val="0"/>
          <w:color w:val="000000"/>
          <w:spacing w:val="-1"/>
          <w:sz w:val="31"/>
          <w:szCs w:val="31"/>
          <w:bdr w:val="none" w:color="auto" w:sz="0" w:space="0"/>
          <w:shd w:val="clear" w:fill="FFFFFF"/>
        </w:rPr>
        <w:t>2024年8月9日</w:t>
      </w:r>
    </w:p>
    <w:p>
      <w:pPr>
        <w:adjustRightInd/>
        <w:snapToGrid/>
        <w:spacing w:after="0"/>
        <w:ind w:firstLine="5445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31D50"/>
    <w:rsid w:val="00002A13"/>
    <w:rsid w:val="00014D89"/>
    <w:rsid w:val="0002233E"/>
    <w:rsid w:val="00025736"/>
    <w:rsid w:val="00030E86"/>
    <w:rsid w:val="000430CA"/>
    <w:rsid w:val="00050465"/>
    <w:rsid w:val="000547BB"/>
    <w:rsid w:val="000618D3"/>
    <w:rsid w:val="0006322B"/>
    <w:rsid w:val="0006327A"/>
    <w:rsid w:val="000729EB"/>
    <w:rsid w:val="00074AD2"/>
    <w:rsid w:val="000812F4"/>
    <w:rsid w:val="000910E1"/>
    <w:rsid w:val="000936F7"/>
    <w:rsid w:val="00095294"/>
    <w:rsid w:val="000957AC"/>
    <w:rsid w:val="000A5028"/>
    <w:rsid w:val="000A7695"/>
    <w:rsid w:val="000B5C2A"/>
    <w:rsid w:val="000D30E3"/>
    <w:rsid w:val="000D3348"/>
    <w:rsid w:val="000E18A2"/>
    <w:rsid w:val="000E1FA9"/>
    <w:rsid w:val="000E7543"/>
    <w:rsid w:val="000F4049"/>
    <w:rsid w:val="0010440D"/>
    <w:rsid w:val="00110B5C"/>
    <w:rsid w:val="0011188B"/>
    <w:rsid w:val="00113224"/>
    <w:rsid w:val="001157D7"/>
    <w:rsid w:val="001225F8"/>
    <w:rsid w:val="00134BE7"/>
    <w:rsid w:val="0014766F"/>
    <w:rsid w:val="00152D94"/>
    <w:rsid w:val="00156217"/>
    <w:rsid w:val="00157799"/>
    <w:rsid w:val="0016069B"/>
    <w:rsid w:val="00160908"/>
    <w:rsid w:val="00170032"/>
    <w:rsid w:val="00174CF3"/>
    <w:rsid w:val="00174FC8"/>
    <w:rsid w:val="001810F6"/>
    <w:rsid w:val="00182785"/>
    <w:rsid w:val="00190048"/>
    <w:rsid w:val="00194C32"/>
    <w:rsid w:val="00196E1B"/>
    <w:rsid w:val="001A32AD"/>
    <w:rsid w:val="001A556D"/>
    <w:rsid w:val="001B2273"/>
    <w:rsid w:val="001D3092"/>
    <w:rsid w:val="001D40A6"/>
    <w:rsid w:val="001F3153"/>
    <w:rsid w:val="001F72B5"/>
    <w:rsid w:val="00201E20"/>
    <w:rsid w:val="00206F8F"/>
    <w:rsid w:val="00207F97"/>
    <w:rsid w:val="00214CF7"/>
    <w:rsid w:val="00216E71"/>
    <w:rsid w:val="002235BC"/>
    <w:rsid w:val="00233CED"/>
    <w:rsid w:val="00236FDA"/>
    <w:rsid w:val="00244EE2"/>
    <w:rsid w:val="002463C9"/>
    <w:rsid w:val="002513BD"/>
    <w:rsid w:val="00257856"/>
    <w:rsid w:val="00277323"/>
    <w:rsid w:val="002777A1"/>
    <w:rsid w:val="00283408"/>
    <w:rsid w:val="0028525D"/>
    <w:rsid w:val="002866F6"/>
    <w:rsid w:val="0029028F"/>
    <w:rsid w:val="002A3E43"/>
    <w:rsid w:val="002B1948"/>
    <w:rsid w:val="002C122F"/>
    <w:rsid w:val="002C248B"/>
    <w:rsid w:val="002C70E5"/>
    <w:rsid w:val="002D757D"/>
    <w:rsid w:val="002D7671"/>
    <w:rsid w:val="002E2A41"/>
    <w:rsid w:val="002E3ECB"/>
    <w:rsid w:val="002E7145"/>
    <w:rsid w:val="002F00B3"/>
    <w:rsid w:val="002F02FE"/>
    <w:rsid w:val="002F07C0"/>
    <w:rsid w:val="003059D5"/>
    <w:rsid w:val="00307AFA"/>
    <w:rsid w:val="00320D56"/>
    <w:rsid w:val="00322F4C"/>
    <w:rsid w:val="00323B43"/>
    <w:rsid w:val="00335FBE"/>
    <w:rsid w:val="003447B3"/>
    <w:rsid w:val="00347193"/>
    <w:rsid w:val="003476A4"/>
    <w:rsid w:val="00353BA9"/>
    <w:rsid w:val="00355E21"/>
    <w:rsid w:val="00357EB7"/>
    <w:rsid w:val="00361A72"/>
    <w:rsid w:val="00363805"/>
    <w:rsid w:val="00374AE2"/>
    <w:rsid w:val="00386CE1"/>
    <w:rsid w:val="00393219"/>
    <w:rsid w:val="003936A4"/>
    <w:rsid w:val="003936B9"/>
    <w:rsid w:val="003A15E6"/>
    <w:rsid w:val="003C0D6B"/>
    <w:rsid w:val="003C1D41"/>
    <w:rsid w:val="003C2C03"/>
    <w:rsid w:val="003D37D8"/>
    <w:rsid w:val="003D4715"/>
    <w:rsid w:val="003D710A"/>
    <w:rsid w:val="003E2BFC"/>
    <w:rsid w:val="003E5A9F"/>
    <w:rsid w:val="003F70AB"/>
    <w:rsid w:val="00410A33"/>
    <w:rsid w:val="00422AD1"/>
    <w:rsid w:val="00424A38"/>
    <w:rsid w:val="00426133"/>
    <w:rsid w:val="004349C0"/>
    <w:rsid w:val="004358AB"/>
    <w:rsid w:val="00443E90"/>
    <w:rsid w:val="00450005"/>
    <w:rsid w:val="00450C77"/>
    <w:rsid w:val="0045680A"/>
    <w:rsid w:val="00463028"/>
    <w:rsid w:val="00471A3B"/>
    <w:rsid w:val="004749F0"/>
    <w:rsid w:val="00476C3B"/>
    <w:rsid w:val="0047785F"/>
    <w:rsid w:val="0049140E"/>
    <w:rsid w:val="00496E4F"/>
    <w:rsid w:val="004B4CFA"/>
    <w:rsid w:val="004C175A"/>
    <w:rsid w:val="004C7CF2"/>
    <w:rsid w:val="004F0CCD"/>
    <w:rsid w:val="00510995"/>
    <w:rsid w:val="005168C5"/>
    <w:rsid w:val="005218F6"/>
    <w:rsid w:val="00523BDD"/>
    <w:rsid w:val="0052515C"/>
    <w:rsid w:val="00530F2D"/>
    <w:rsid w:val="0053663D"/>
    <w:rsid w:val="00536DF2"/>
    <w:rsid w:val="00537BF8"/>
    <w:rsid w:val="00540DC7"/>
    <w:rsid w:val="00543584"/>
    <w:rsid w:val="00543782"/>
    <w:rsid w:val="0055369F"/>
    <w:rsid w:val="0055709E"/>
    <w:rsid w:val="00566993"/>
    <w:rsid w:val="00566C07"/>
    <w:rsid w:val="00570005"/>
    <w:rsid w:val="005873AF"/>
    <w:rsid w:val="005A6CFB"/>
    <w:rsid w:val="005A7A21"/>
    <w:rsid w:val="005B1774"/>
    <w:rsid w:val="005B45CF"/>
    <w:rsid w:val="005C0D21"/>
    <w:rsid w:val="005C155D"/>
    <w:rsid w:val="005C31E9"/>
    <w:rsid w:val="005C4206"/>
    <w:rsid w:val="005C5781"/>
    <w:rsid w:val="005D072F"/>
    <w:rsid w:val="005D0DEE"/>
    <w:rsid w:val="005F2B78"/>
    <w:rsid w:val="00606205"/>
    <w:rsid w:val="00607358"/>
    <w:rsid w:val="00607EC0"/>
    <w:rsid w:val="00610019"/>
    <w:rsid w:val="006110FC"/>
    <w:rsid w:val="00611544"/>
    <w:rsid w:val="006128D5"/>
    <w:rsid w:val="006148C9"/>
    <w:rsid w:val="0061606F"/>
    <w:rsid w:val="00620A17"/>
    <w:rsid w:val="006214F4"/>
    <w:rsid w:val="006648D9"/>
    <w:rsid w:val="00677D5A"/>
    <w:rsid w:val="006919F0"/>
    <w:rsid w:val="006A1D72"/>
    <w:rsid w:val="006A48A0"/>
    <w:rsid w:val="006C44CC"/>
    <w:rsid w:val="006E08D8"/>
    <w:rsid w:val="006F04BE"/>
    <w:rsid w:val="006F7856"/>
    <w:rsid w:val="00701C74"/>
    <w:rsid w:val="0070239F"/>
    <w:rsid w:val="00702508"/>
    <w:rsid w:val="007121C4"/>
    <w:rsid w:val="00714B02"/>
    <w:rsid w:val="007248B8"/>
    <w:rsid w:val="00727337"/>
    <w:rsid w:val="0073205A"/>
    <w:rsid w:val="00732B85"/>
    <w:rsid w:val="00740E8C"/>
    <w:rsid w:val="00741563"/>
    <w:rsid w:val="007471D4"/>
    <w:rsid w:val="00747E0A"/>
    <w:rsid w:val="00750298"/>
    <w:rsid w:val="00761130"/>
    <w:rsid w:val="007673F5"/>
    <w:rsid w:val="007675CD"/>
    <w:rsid w:val="007745AD"/>
    <w:rsid w:val="00783419"/>
    <w:rsid w:val="00785657"/>
    <w:rsid w:val="007865C9"/>
    <w:rsid w:val="007873F2"/>
    <w:rsid w:val="00793A91"/>
    <w:rsid w:val="00796629"/>
    <w:rsid w:val="007A6260"/>
    <w:rsid w:val="007C416B"/>
    <w:rsid w:val="007C44C4"/>
    <w:rsid w:val="007D0528"/>
    <w:rsid w:val="007D35F2"/>
    <w:rsid w:val="007D3BB9"/>
    <w:rsid w:val="007D6855"/>
    <w:rsid w:val="00817F98"/>
    <w:rsid w:val="008201C5"/>
    <w:rsid w:val="00827FB9"/>
    <w:rsid w:val="008445DB"/>
    <w:rsid w:val="008450A8"/>
    <w:rsid w:val="008507C0"/>
    <w:rsid w:val="0085497C"/>
    <w:rsid w:val="00854BCB"/>
    <w:rsid w:val="0086092D"/>
    <w:rsid w:val="00862981"/>
    <w:rsid w:val="00867E9B"/>
    <w:rsid w:val="00884835"/>
    <w:rsid w:val="008930CD"/>
    <w:rsid w:val="00893277"/>
    <w:rsid w:val="00894AA0"/>
    <w:rsid w:val="00895EEF"/>
    <w:rsid w:val="00896D1C"/>
    <w:rsid w:val="008972C8"/>
    <w:rsid w:val="00897920"/>
    <w:rsid w:val="008A6AC1"/>
    <w:rsid w:val="008B008A"/>
    <w:rsid w:val="008B4334"/>
    <w:rsid w:val="008B450C"/>
    <w:rsid w:val="008B4E39"/>
    <w:rsid w:val="008B6523"/>
    <w:rsid w:val="008B7726"/>
    <w:rsid w:val="008C49E6"/>
    <w:rsid w:val="008D4402"/>
    <w:rsid w:val="008F2B7A"/>
    <w:rsid w:val="008F3B9E"/>
    <w:rsid w:val="008F7CA5"/>
    <w:rsid w:val="00903E35"/>
    <w:rsid w:val="00906053"/>
    <w:rsid w:val="00911DE1"/>
    <w:rsid w:val="00916AFD"/>
    <w:rsid w:val="0094064E"/>
    <w:rsid w:val="00951BFC"/>
    <w:rsid w:val="00953E58"/>
    <w:rsid w:val="00954AA4"/>
    <w:rsid w:val="0096633A"/>
    <w:rsid w:val="0096677C"/>
    <w:rsid w:val="00971266"/>
    <w:rsid w:val="00975280"/>
    <w:rsid w:val="00986A17"/>
    <w:rsid w:val="00986ED0"/>
    <w:rsid w:val="00996AC4"/>
    <w:rsid w:val="009A5FF7"/>
    <w:rsid w:val="009A6871"/>
    <w:rsid w:val="009B21F1"/>
    <w:rsid w:val="009B2786"/>
    <w:rsid w:val="009B2C38"/>
    <w:rsid w:val="009D1D85"/>
    <w:rsid w:val="009D5A75"/>
    <w:rsid w:val="009E16F2"/>
    <w:rsid w:val="009E18E4"/>
    <w:rsid w:val="009F7C7A"/>
    <w:rsid w:val="00A01DF4"/>
    <w:rsid w:val="00A215C9"/>
    <w:rsid w:val="00A30CF8"/>
    <w:rsid w:val="00A4169B"/>
    <w:rsid w:val="00A54155"/>
    <w:rsid w:val="00A65280"/>
    <w:rsid w:val="00A6775F"/>
    <w:rsid w:val="00A7707D"/>
    <w:rsid w:val="00A838DC"/>
    <w:rsid w:val="00A84AE0"/>
    <w:rsid w:val="00A90D0C"/>
    <w:rsid w:val="00A9135E"/>
    <w:rsid w:val="00A9294C"/>
    <w:rsid w:val="00AA23FA"/>
    <w:rsid w:val="00AB14BA"/>
    <w:rsid w:val="00AB4B2F"/>
    <w:rsid w:val="00AB6BA4"/>
    <w:rsid w:val="00AC33B2"/>
    <w:rsid w:val="00AC6774"/>
    <w:rsid w:val="00AD4C9C"/>
    <w:rsid w:val="00AE0AF2"/>
    <w:rsid w:val="00AE42D4"/>
    <w:rsid w:val="00AE6487"/>
    <w:rsid w:val="00B01B88"/>
    <w:rsid w:val="00B02F94"/>
    <w:rsid w:val="00B126A7"/>
    <w:rsid w:val="00B17CEE"/>
    <w:rsid w:val="00B20784"/>
    <w:rsid w:val="00B21220"/>
    <w:rsid w:val="00B22801"/>
    <w:rsid w:val="00B24A4C"/>
    <w:rsid w:val="00B252B4"/>
    <w:rsid w:val="00B27E33"/>
    <w:rsid w:val="00B33E38"/>
    <w:rsid w:val="00B4326E"/>
    <w:rsid w:val="00B73A10"/>
    <w:rsid w:val="00B86723"/>
    <w:rsid w:val="00B941A3"/>
    <w:rsid w:val="00B941AB"/>
    <w:rsid w:val="00B974A9"/>
    <w:rsid w:val="00BA2412"/>
    <w:rsid w:val="00BA7C4A"/>
    <w:rsid w:val="00BB0278"/>
    <w:rsid w:val="00BB554B"/>
    <w:rsid w:val="00BF73F3"/>
    <w:rsid w:val="00C00041"/>
    <w:rsid w:val="00C0423C"/>
    <w:rsid w:val="00C07A9F"/>
    <w:rsid w:val="00C15704"/>
    <w:rsid w:val="00C17395"/>
    <w:rsid w:val="00C23A87"/>
    <w:rsid w:val="00C344A1"/>
    <w:rsid w:val="00C468C3"/>
    <w:rsid w:val="00C50931"/>
    <w:rsid w:val="00C60359"/>
    <w:rsid w:val="00C61324"/>
    <w:rsid w:val="00C63EDB"/>
    <w:rsid w:val="00C66A8C"/>
    <w:rsid w:val="00C71423"/>
    <w:rsid w:val="00C77D66"/>
    <w:rsid w:val="00C849D4"/>
    <w:rsid w:val="00C858B2"/>
    <w:rsid w:val="00CA5843"/>
    <w:rsid w:val="00CA70DD"/>
    <w:rsid w:val="00CB16FF"/>
    <w:rsid w:val="00CB29BA"/>
    <w:rsid w:val="00CB2A01"/>
    <w:rsid w:val="00CB39C9"/>
    <w:rsid w:val="00CD21BA"/>
    <w:rsid w:val="00CD328F"/>
    <w:rsid w:val="00CD4295"/>
    <w:rsid w:val="00CD4F0F"/>
    <w:rsid w:val="00CD5295"/>
    <w:rsid w:val="00CD74BD"/>
    <w:rsid w:val="00CE0BFB"/>
    <w:rsid w:val="00CE0C36"/>
    <w:rsid w:val="00CE2CE5"/>
    <w:rsid w:val="00CF5224"/>
    <w:rsid w:val="00D0319E"/>
    <w:rsid w:val="00D10241"/>
    <w:rsid w:val="00D11BD4"/>
    <w:rsid w:val="00D30D95"/>
    <w:rsid w:val="00D31D50"/>
    <w:rsid w:val="00D33751"/>
    <w:rsid w:val="00D34922"/>
    <w:rsid w:val="00D35072"/>
    <w:rsid w:val="00D3536D"/>
    <w:rsid w:val="00D37D23"/>
    <w:rsid w:val="00D42DFD"/>
    <w:rsid w:val="00D4593C"/>
    <w:rsid w:val="00D476F9"/>
    <w:rsid w:val="00D51249"/>
    <w:rsid w:val="00D5218E"/>
    <w:rsid w:val="00D5491D"/>
    <w:rsid w:val="00D54FDC"/>
    <w:rsid w:val="00D57471"/>
    <w:rsid w:val="00D67754"/>
    <w:rsid w:val="00D7627A"/>
    <w:rsid w:val="00D763B7"/>
    <w:rsid w:val="00D8428B"/>
    <w:rsid w:val="00D92419"/>
    <w:rsid w:val="00DA20C2"/>
    <w:rsid w:val="00DA521E"/>
    <w:rsid w:val="00DA6344"/>
    <w:rsid w:val="00DB1998"/>
    <w:rsid w:val="00DB267C"/>
    <w:rsid w:val="00DC08E6"/>
    <w:rsid w:val="00DC09A0"/>
    <w:rsid w:val="00DC1A5A"/>
    <w:rsid w:val="00DC23CA"/>
    <w:rsid w:val="00DD1E41"/>
    <w:rsid w:val="00DD52AA"/>
    <w:rsid w:val="00DE103B"/>
    <w:rsid w:val="00DE145A"/>
    <w:rsid w:val="00DE39B7"/>
    <w:rsid w:val="00DF6EDD"/>
    <w:rsid w:val="00DF7361"/>
    <w:rsid w:val="00DF7E82"/>
    <w:rsid w:val="00E05633"/>
    <w:rsid w:val="00E210A0"/>
    <w:rsid w:val="00E328E5"/>
    <w:rsid w:val="00E342C9"/>
    <w:rsid w:val="00E37B32"/>
    <w:rsid w:val="00E42E54"/>
    <w:rsid w:val="00E4437E"/>
    <w:rsid w:val="00E51943"/>
    <w:rsid w:val="00E545D0"/>
    <w:rsid w:val="00E65FB9"/>
    <w:rsid w:val="00E73BDD"/>
    <w:rsid w:val="00E74D03"/>
    <w:rsid w:val="00E773E2"/>
    <w:rsid w:val="00E774C6"/>
    <w:rsid w:val="00E775F8"/>
    <w:rsid w:val="00E807D3"/>
    <w:rsid w:val="00E85118"/>
    <w:rsid w:val="00E85459"/>
    <w:rsid w:val="00E86AD3"/>
    <w:rsid w:val="00EA1489"/>
    <w:rsid w:val="00EA2655"/>
    <w:rsid w:val="00EB3586"/>
    <w:rsid w:val="00EC780B"/>
    <w:rsid w:val="00ED576C"/>
    <w:rsid w:val="00EE0CF8"/>
    <w:rsid w:val="00EE3A96"/>
    <w:rsid w:val="00EE50F7"/>
    <w:rsid w:val="00EF297D"/>
    <w:rsid w:val="00EF76FE"/>
    <w:rsid w:val="00F04234"/>
    <w:rsid w:val="00F047DC"/>
    <w:rsid w:val="00F070F5"/>
    <w:rsid w:val="00F11CB2"/>
    <w:rsid w:val="00F20187"/>
    <w:rsid w:val="00F21AAA"/>
    <w:rsid w:val="00F21F5B"/>
    <w:rsid w:val="00F234C6"/>
    <w:rsid w:val="00F24E77"/>
    <w:rsid w:val="00F24FA8"/>
    <w:rsid w:val="00F474DE"/>
    <w:rsid w:val="00F634A7"/>
    <w:rsid w:val="00F7443F"/>
    <w:rsid w:val="00F805F0"/>
    <w:rsid w:val="00F825A1"/>
    <w:rsid w:val="00F9041B"/>
    <w:rsid w:val="00F94E57"/>
    <w:rsid w:val="00F957A8"/>
    <w:rsid w:val="00F96EC9"/>
    <w:rsid w:val="00FA233C"/>
    <w:rsid w:val="00FA5448"/>
    <w:rsid w:val="00FA792A"/>
    <w:rsid w:val="00FB04F3"/>
    <w:rsid w:val="00FB07AF"/>
    <w:rsid w:val="00FB39AB"/>
    <w:rsid w:val="00FC1CBF"/>
    <w:rsid w:val="00FC73A4"/>
    <w:rsid w:val="00FD35EB"/>
    <w:rsid w:val="00FE0475"/>
    <w:rsid w:val="00FF00D9"/>
    <w:rsid w:val="00FF24E9"/>
    <w:rsid w:val="09FF56E8"/>
    <w:rsid w:val="0D061CD4"/>
    <w:rsid w:val="0D637775"/>
    <w:rsid w:val="11E470A0"/>
    <w:rsid w:val="18024DC4"/>
    <w:rsid w:val="1C4E296B"/>
    <w:rsid w:val="1FF27F0A"/>
    <w:rsid w:val="37D92952"/>
    <w:rsid w:val="437A0EFD"/>
    <w:rsid w:val="52C1180B"/>
    <w:rsid w:val="569A1942"/>
    <w:rsid w:val="573E6F54"/>
    <w:rsid w:val="5D6B5C61"/>
    <w:rsid w:val="5D770B1F"/>
    <w:rsid w:val="5F763953"/>
    <w:rsid w:val="6F753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2">
    <w:name w:val="apple-converted-space"/>
    <w:basedOn w:val="7"/>
    <w:qFormat/>
    <w:uiPriority w:val="0"/>
  </w:style>
  <w:style w:type="character" w:customStyle="1" w:styleId="13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paragraph" w:customStyle="1" w:styleId="14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2269</Characters>
  <Lines>18</Lines>
  <Paragraphs>5</Paragraphs>
  <TotalTime>6</TotalTime>
  <ScaleCrop>false</ScaleCrop>
  <LinksUpToDate>false</LinksUpToDate>
  <CharactersWithSpaces>2662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cp:lastPrinted>2021-06-03T04:20:00Z</cp:lastPrinted>
  <dcterms:modified xsi:type="dcterms:W3CDTF">2024-08-09T06:39:12Z</dcterms:modified>
  <cp:revision>389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048AEE60E7C840B2AF11B73D7D5F2800</vt:lpwstr>
  </property>
</Properties>
</file>