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</w:rPr>
        <w:t>关于代销信银理财安盈象固收稳利七天持有期55号理财产品的通知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_GB2312" w:hAnsi="微软雅黑" w:eastAsia="仿宋_GB2312" w:cs="宋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各分(支)行：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我行将于202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年1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月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日起代销</w:t>
      </w:r>
      <w:r>
        <w:rPr>
          <w:rFonts w:hint="eastAsia" w:ascii="仿宋_GB2312" w:hAnsi="微软雅黑" w:eastAsia="仿宋_GB2312" w:cs="宋体"/>
          <w:b/>
          <w:bCs/>
          <w:color w:val="FF0000"/>
          <w:sz w:val="32"/>
          <w:szCs w:val="32"/>
        </w:rPr>
        <w:t>信银理财有限责任公司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发行的安盈象固收稳利七天持有期55号理财产品，目前只在</w:t>
      </w:r>
      <w:r>
        <w:rPr>
          <w:rFonts w:hint="eastAsia" w:ascii="仿宋_GB2312" w:hAnsi="微软雅黑" w:eastAsia="仿宋_GB2312" w:cs="宋体"/>
          <w:b/>
          <w:bCs/>
          <w:color w:val="FF0000"/>
          <w:sz w:val="32"/>
          <w:szCs w:val="32"/>
        </w:rPr>
        <w:t>手机银行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销售。该产品的最短持有期为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自然日，投资者成功购买后，自份额确认日（含）起连续持有超过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自然日，方可在开放日的交易时间发起相应份额的赎回申请。该产品的交易时间为每个开放日8:30-15:30，赎回资金最快将于赎回确认日的下一工作日到账。该产品</w:t>
      </w:r>
      <w:r>
        <w:rPr>
          <w:rFonts w:hint="eastAsia" w:ascii="仿宋_GB2312" w:hAnsi="微软雅黑" w:eastAsia="仿宋_GB2312" w:cs="宋体"/>
          <w:b/>
          <w:bCs/>
          <w:color w:val="FF0000"/>
          <w:sz w:val="32"/>
          <w:szCs w:val="32"/>
        </w:rPr>
        <w:t>销售服务费率0.</w:t>
      </w:r>
      <w:r>
        <w:rPr>
          <w:rFonts w:hint="eastAsia" w:ascii="仿宋_GB2312" w:hAnsi="微软雅黑" w:eastAsia="仿宋_GB2312" w:cs="宋体"/>
          <w:b/>
          <w:bCs/>
          <w:color w:val="FF0000"/>
          <w:sz w:val="32"/>
          <w:szCs w:val="32"/>
          <w:lang w:val="en-US" w:eastAsia="zh-CN"/>
        </w:rPr>
        <w:t>15</w:t>
      </w:r>
      <w:r>
        <w:rPr>
          <w:rFonts w:hint="eastAsia" w:ascii="仿宋_GB2312" w:hAnsi="微软雅黑" w:eastAsia="仿宋_GB2312" w:cs="宋体"/>
          <w:b/>
          <w:bCs/>
          <w:color w:val="FF0000"/>
          <w:sz w:val="32"/>
          <w:szCs w:val="32"/>
        </w:rPr>
        <w:t>%/年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。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eastAsia="zh-CN"/>
        </w:rPr>
        <w:t>该产品限额销售期间，</w:t>
      </w:r>
      <w:r>
        <w:rPr>
          <w:rFonts w:hint="eastAsia" w:ascii="仿宋_GB2312" w:hAnsi="微软雅黑" w:eastAsia="仿宋_GB2312" w:cs="宋体"/>
          <w:b/>
          <w:bCs/>
          <w:color w:val="FF0000"/>
          <w:sz w:val="32"/>
          <w:szCs w:val="32"/>
          <w:lang w:val="en-US" w:eastAsia="zh-CN"/>
        </w:rPr>
        <w:t>100万元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起购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 xml:space="preserve">部分要素如下： </w:t>
      </w:r>
    </w:p>
    <w:tbl>
      <w:tblPr>
        <w:tblStyle w:val="8"/>
        <w:tblW w:w="48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6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产品名称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color w:val="000000" w:themeColor="text1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【信银理财安盈象固收稳利七天持有期55号理财产品】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理财产品登记编码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/>
                <w:color w:val="000000" w:themeColor="text1"/>
                <w:sz w:val="20"/>
                <w:szCs w:val="20"/>
              </w:rPr>
              <w:t>【</w:t>
            </w:r>
            <w:r>
              <w:rPr>
                <w:rFonts w:ascii="楷体_GB2312" w:eastAsia="楷体_GB2312"/>
                <w:color w:val="000000" w:themeColor="text1"/>
                <w:sz w:val="20"/>
                <w:szCs w:val="20"/>
              </w:rPr>
              <w:t>Z7002624001397】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产品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代码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【AF246939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产品类型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hint="eastAsia" w:ascii="楷体_GB2312" w:eastAsia="楷体_GB2312"/>
                <w:color w:val="000000" w:themeColor="text1"/>
                <w:sz w:val="20"/>
                <w:szCs w:val="20"/>
              </w:rPr>
              <w:t>公募、【固定收益类】、开放式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信银理财产品风险分级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PR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【2】级（【稳健】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型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）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。本风险分级为信银理财自行评定，仅供参考。</w:t>
            </w:r>
          </w:p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产品通过代销机构销售的，代销机构将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对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理财产品进行风险评级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并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对投资者进行风险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承受能力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测评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，理财产品评级应当以代销机构最终披露的评级结果为准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。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代销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机构对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产品的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风险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评级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结果与信银理财不一致的，将采用对应较高风险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等级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的评级结果。</w:t>
            </w:r>
          </w:p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</w:rPr>
              <w:t>紫金农商银行对本产品的风险评级为中</w:t>
            </w:r>
            <w:r>
              <w:rPr>
                <w:rFonts w:hint="eastAsia" w:ascii="仿宋" w:hAnsi="仿宋" w:eastAsia="仿宋" w:cs="Tahom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  <w:lang w:eastAsia="zh-CN"/>
              </w:rPr>
              <w:t>低</w:t>
            </w:r>
            <w:r>
              <w:rPr>
                <w:rFonts w:hint="eastAsia" w:ascii="仿宋" w:hAnsi="仿宋" w:eastAsia="仿宋" w:cs="Tahom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</w:rPr>
              <w:t>风险。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发行对象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【个人/机构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客户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，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适合</w:t>
            </w:r>
            <w:r>
              <w:rPr>
                <w:rFonts w:hint="eastAsia" w:ascii="楷体_GB2312" w:eastAsia="楷体_GB2312" w:cs="Times New Roman"/>
                <w:sz w:val="20"/>
                <w:szCs w:val="20"/>
              </w:rPr>
              <w:t>【稳健型】【平衡型】【进取型】【激进型】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投资者。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代销机构对产品的发行对象与信银理财不一致的，以代销机构为准。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理财本金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本理财产品不保证本金及理财收益，其理财收益随单位净值浮动。详细内容见以下“八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、</w:t>
            </w:r>
            <w:r>
              <w:rPr>
                <w:rFonts w:hint="eastAsia"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  <w:t>理财资金分配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产品份额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指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管理人依据理财产品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合同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向投资者发行的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理财产品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受益凭证。理财产品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份额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持有人基于其所持有的理财产品份额享有理财产品利益、承担理财产品资产风险。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产品份额面值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产品份额面值为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【人民币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1元。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产品份额类型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【M】类份额：份额代码【AF246939M】</w:t>
            </w:r>
          </w:p>
          <w:p>
            <w:pPr>
              <w:spacing w:line="300" w:lineRule="exact"/>
              <w:ind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后续理财产品份额类型如有新增、减少和变更，信银理财将按照本说明书约定的方式告知投资者。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工作日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指除中国法定节假日和公休日外的其他日。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到期日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sz w:val="20"/>
                <w:szCs w:val="20"/>
              </w:rPr>
              <w:t>无固定期限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最短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持有期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88" w:rightChars="40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产品的最短持有期为【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】自然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日，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即投资者成功购买本产品份额后，自该份额确认日（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含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）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起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连续持有超过【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】自然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日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，方可在开放日的交易时间发起相应份额的赎回申请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开放日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88" w:rightChars="40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.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本产品首个申购开放日为【2024】年【9】月【11】日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，之后【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每个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工作日】开放申购（如遇非工作日则顺延至下一工作日）。</w:t>
            </w:r>
          </w:p>
          <w:p>
            <w:pPr>
              <w:spacing w:line="300" w:lineRule="exact"/>
              <w:ind w:right="88" w:rightChars="40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2.本产品【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每个工作日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】开放赎回，投资者可以针对超过最短持有期后的产品份额发起赎回申请（如遇非工作日则顺延至下一工作日）。</w:t>
            </w:r>
          </w:p>
          <w:p>
            <w:pPr>
              <w:spacing w:line="300" w:lineRule="exact"/>
              <w:ind w:left="-2" w:leftChars="-1" w:right="88" w:rightChars="40"/>
              <w:rPr>
                <w:rFonts w:ascii="楷体_GB2312" w:eastAsia="楷体_GB2312" w:cs="楷体_GB2312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3.如因实际投资运作需要等因素，管理人有权增加或调整开放日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和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到期日，并最迟于增加或调整生效前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【2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】个工作日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以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本说明书约定的方式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向投资者发布相关信息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 xml:space="preserve">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清算期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到期日（或理财产品实际终止日）至投资者持有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的本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产品份额清零之日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为清算期。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业绩</w:t>
            </w: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比较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基准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right="33" w:rightChars="15"/>
              <w:jc w:val="left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【M】类份额：【2.05%-3.05%】</w:t>
            </w:r>
            <w:r>
              <w:br w:type="textWrapping"/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业绩</w:t>
            </w: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比较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基准测算依据：【本理财产品为固定收益类产品，主要投向为债权类资产。根据当前市场利率水平、组合目标久期、可投资债券的静态收益率、债券杠杆操作等因素作为测算依据，扣除相关税费成本之后，综合得出产品的业绩比较基准】。</w:t>
            </w:r>
          </w:p>
          <w:p>
            <w:pPr>
              <w:spacing w:line="300" w:lineRule="exact"/>
              <w:ind w:left="-2" w:leftChars="-1" w:right="33" w:rightChars="15"/>
              <w:jc w:val="both"/>
              <w:rPr>
                <w:rFonts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  <w:t>业绩比较基准是基于产品性质、投资策略、过往经验等因素对产品设定的投资目标，不是预期收益率，不代表产品的未来表现和实际收益，不构成对产品收益的承诺，投资须谨慎。</w:t>
            </w:r>
          </w:p>
          <w:p>
            <w:pPr>
              <w:spacing w:line="300" w:lineRule="exact"/>
              <w:ind w:left="-2" w:leftChars="-1" w:right="33" w:rightChars="15"/>
              <w:jc w:val="both"/>
              <w:rPr>
                <w:rFonts w:ascii="黑体" w:hAnsi="黑体" w:eastAsia="黑体" w:cs="楷体_GB2312"/>
                <w:b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  <w:t>本产品收取的销售服务费可能因销售</w:t>
            </w:r>
            <w:r>
              <w:rPr>
                <w:rFonts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  <w:t>机构</w:t>
            </w:r>
            <w:r>
              <w:rPr>
                <w:rFonts w:hint="eastAsia" w:ascii="楷体_GB2312" w:eastAsia="楷体_GB2312" w:cs="楷体_GB2312"/>
                <w:b/>
                <w:bCs/>
                <w:color w:val="000000" w:themeColor="text1"/>
                <w:sz w:val="20"/>
                <w:szCs w:val="20"/>
              </w:rPr>
              <w:t>不同有所差异，从而导致测算的业绩比较基准有所差异，请投资者关注管理人及销售机构相关信息披露。</w:t>
            </w:r>
          </w:p>
          <w:p>
            <w:pPr>
              <w:spacing w:line="300" w:lineRule="exact"/>
              <w:ind w:left="-2" w:leftChars="-1" w:right="33" w:rightChars="15"/>
              <w:jc w:val="both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若今后法律法规发生变化，或有其他代表性更强、更科学客观的业绩比较基准适用于本产品时，本产品可变更业绩比较基准并及时告知投资者。管理人有权根据法律法规要求、市场情况在每个开放日调整当期业绩比较基准，并在每个开放日前【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2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个工作日以符合监管规定要求的方式向投资者披露，投资者不接受的，可于最近一个开放日赎回理财产品。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交易时间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本产品认购交易时间为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【8：30-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】，申购和赎回交易时间为【8：30-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】（信银理财有权变更交易时间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，请投资者关注管理人及销售机构相关信息披露。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如果投资者通过信银理财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直销渠道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购买的，则交易时间以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信银理财直销渠道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的营业时间和公布的交易时间为准，且必须在【8：30-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】内）；募集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期内，信银理财在认购交易时间内受理投资者的认购申请。投资者通过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代销机构购买理财产品的，还应按照代销机构对于交易时间以及交易申请的相关规定执行，但认购交易时间必须在【8：30-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】内，申购和赎回交易时间必须在【8：30-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1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7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：</w:t>
            </w:r>
            <w:r>
              <w:rPr>
                <w:rFonts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hint="eastAsia" w:ascii="楷体_GB2312" w:eastAsia="楷体_GB2312" w:cs="楷体_GB2312"/>
                <w:sz w:val="20"/>
                <w:szCs w:val="20"/>
              </w:rPr>
              <w:t>0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币种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本产品投资与收益币种为【人民币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认/申购起点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【M】类份额：初始认购/首次申购金额不低于【人民币】【1】元，以【人民币】【0.01】元的整数倍增加。追加认购/申购金额不低于【人民币】【0.01】元，以【人民币】【0.01】元的整数倍增加。</w:t>
            </w:r>
            <w:r>
              <w:br w:type="textWrapping"/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代销机构对产品的认/申购起点及追加认/申购金额的要求与信银理财不一致的，以代销机构为准，但不得低于上述对应金额。</w:t>
            </w:r>
          </w:p>
          <w:p>
            <w:pPr>
              <w:spacing w:line="300" w:lineRule="exact"/>
              <w:ind w:left="-2" w:leftChars="-1" w:right="33" w:rightChars="15"/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仿宋" w:hAnsi="仿宋" w:eastAsia="仿宋" w:cs="Tahom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  <w:lang w:eastAsia="zh-CN"/>
              </w:rPr>
              <w:t>该产品限额销售期间，</w:t>
            </w:r>
            <w:r>
              <w:rPr>
                <w:rFonts w:hint="eastAsia" w:ascii="仿宋" w:hAnsi="仿宋" w:eastAsia="仿宋" w:cs="Tahom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  <w:lang w:val="en-US" w:eastAsia="zh-CN"/>
              </w:rPr>
              <w:t>100万元起购</w:t>
            </w:r>
            <w:r>
              <w:rPr>
                <w:rFonts w:hint="eastAsia" w:ascii="仿宋" w:hAnsi="仿宋" w:eastAsia="仿宋" w:cs="Tahoma"/>
                <w:b/>
                <w:bCs/>
                <w:color w:val="FF0000"/>
                <w:spacing w:val="-1"/>
                <w:sz w:val="19"/>
                <w:szCs w:val="19"/>
                <w:shd w:val="clear" w:color="auto" w:fill="FFFFFF"/>
              </w:rPr>
              <w:t>。</w:t>
            </w:r>
          </w:p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客户持有理财产品份额时进行申购，不视为首次申购，按追加申购处理。客户全额赎回不再持有理财产品份额后再次申购，视同首次申购处理。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单个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投资者持仓份额比例限制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单一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投资者持有份额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不得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超过产品总份额的50%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。投资者提出认购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/申购申请时，如认/申购后投资者持有份额超过产品总份额的50%，信银理财将不接受超过单个投资者持仓份额比例限制的申请。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单个</w:t>
            </w:r>
            <w:r>
              <w:rPr>
                <w:rFonts w:ascii="Times New Roman" w:eastAsia="楷体_GB2312" w:cs="楷体_GB2312"/>
                <w:color w:val="000000" w:themeColor="text1"/>
                <w:sz w:val="20"/>
                <w:szCs w:val="20"/>
              </w:rPr>
              <w:t>投资者持仓</w:t>
            </w:r>
            <w:r>
              <w:rPr>
                <w:rFonts w:hint="eastAsia" w:ascii="Times New Roman" w:eastAsia="楷体_GB2312" w:cs="楷体_GB2312"/>
                <w:color w:val="000000" w:themeColor="text1"/>
                <w:sz w:val="20"/>
                <w:szCs w:val="20"/>
              </w:rPr>
              <w:t>下限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sz w:val="20"/>
                <w:szCs w:val="20"/>
              </w:rPr>
            </w:pPr>
            <w:r>
              <w:rPr>
                <w:rFonts w:ascii="楷体_GB2312" w:eastAsia="楷体_GB2312" w:cs="楷体_GB2312"/>
                <w:sz w:val="20"/>
                <w:szCs w:val="20"/>
              </w:rPr>
              <w:t>【M】类份额：单个投资者持仓份额下限为【0.01】份，投资者提出部分赎回时，如赎回后投资者持有份额不足【0.01】份，则管理人将对投资者剩余份额发起强制赎回。</w:t>
            </w:r>
          </w:p>
          <w:p>
            <w:pPr>
              <w:spacing w:line="300" w:lineRule="exact"/>
              <w:ind w:left="-2" w:leftChars="-1" w:right="33" w:rightChars="15"/>
              <w:rPr>
                <w:rFonts w:ascii="楷体_GB2312" w:eastAsia="楷体_GB2312" w:cs="楷体_GB2312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信银理财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有权根据实际需要对此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份额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下限进行调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份额单位</w:t>
            </w:r>
          </w:p>
        </w:tc>
        <w:tc>
          <w:tcPr>
            <w:tcW w:w="3773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26" w:type="pct"/>
            <w:vAlign w:val="center"/>
          </w:tcPr>
          <w:p>
            <w:pPr>
              <w:spacing w:line="300" w:lineRule="exact"/>
              <w:ind w:left="-2" w:leftChars="-1" w:right="33" w:rightChars="15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单位净值</w:t>
            </w:r>
          </w:p>
        </w:tc>
        <w:tc>
          <w:tcPr>
            <w:tcW w:w="3773" w:type="pct"/>
            <w:vAlign w:val="center"/>
          </w:tcPr>
          <w:p>
            <w:pPr>
              <w:pStyle w:val="19"/>
              <w:numPr>
                <w:ilvl w:val="0"/>
                <w:numId w:val="1"/>
              </w:numPr>
              <w:spacing w:line="300" w:lineRule="exact"/>
              <w:ind w:right="26" w:rightChars="12" w:firstLineChars="0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单位净值为单位产品份额的净值，该净值为扣除相关税费后的净值。相关税费包含固定管理费、销售服务费、托管费、本理财产品运营过程中产生的增值税及附加税费等。</w:t>
            </w:r>
          </w:p>
          <w:p>
            <w:pPr>
              <w:pStyle w:val="19"/>
              <w:numPr>
                <w:ilvl w:val="0"/>
                <w:numId w:val="1"/>
              </w:numPr>
              <w:spacing w:line="300" w:lineRule="exact"/>
              <w:ind w:right="26" w:rightChars="12" w:firstLineChars="0"/>
              <w:rPr>
                <w:rFonts w:ascii="楷体_GB2312" w:eastAsia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本产品按照单位净值进行申购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、赎回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。单位净值按照【四舍五入</w:t>
            </w:r>
            <w:r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  <w:t>】</w:t>
            </w: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保留至小数点后【4】位。</w:t>
            </w:r>
          </w:p>
          <w:p>
            <w:pPr>
              <w:pStyle w:val="19"/>
              <w:numPr>
                <w:ilvl w:val="0"/>
                <w:numId w:val="1"/>
              </w:numPr>
              <w:spacing w:line="300" w:lineRule="exact"/>
              <w:ind w:right="26" w:rightChars="12" w:firstLineChars="0"/>
              <w:rPr>
                <w:rFonts w:ascii="楷体_GB2312" w:eastAsia="楷体_GB2312" w:cs="楷体_GB2312"/>
                <w:color w:val="000000" w:themeColor="text1"/>
                <w:sz w:val="20"/>
                <w:szCs w:val="20"/>
              </w:rPr>
            </w:pPr>
            <w:r>
              <w:rPr>
                <w:rFonts w:hint="eastAsia" w:ascii="楷体_GB2312" w:eastAsia="楷体_GB2312" w:cs="楷体_GB2312"/>
                <w:color w:val="000000" w:themeColor="text1"/>
                <w:sz w:val="20"/>
                <w:szCs w:val="20"/>
              </w:rPr>
              <w:t>本产品到期后，管理人将在到期日后【5】个工作日内披露份额最终单位净值。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30"/>
        <w:jc w:val="center"/>
        <w:textAlignment w:val="auto"/>
        <w:rPr>
          <w:rFonts w:ascii="仿宋_GB2312" w:hAnsi="微软雅黑" w:eastAsia="仿宋_GB2312" w:cs="宋体"/>
          <w:color w:val="FF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FF0000"/>
          <w:sz w:val="32"/>
          <w:szCs w:val="32"/>
        </w:rPr>
        <w:t>（更多具体要素请详阅产品说明书）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微软雅黑" w:hAnsi="微软雅黑" w:cs="宋体"/>
          <w:color w:val="000000"/>
          <w:sz w:val="30"/>
          <w:szCs w:val="30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1.该产品销售要求参照我行自营理财销售相关规定执行。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2.相关产品销售文件见附件。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3.</w:t>
      </w:r>
      <w:r>
        <w:rPr>
          <w:rFonts w:hint="eastAsia" w:ascii="仿宋_GB2312" w:hAnsi="微软雅黑" w:eastAsia="仿宋_GB2312" w:cs="宋体"/>
          <w:color w:val="FF0000"/>
          <w:sz w:val="32"/>
          <w:szCs w:val="32"/>
        </w:rPr>
        <w:t>紫金农商银行对本产品的风险评级为中</w:t>
      </w:r>
      <w:r>
        <w:rPr>
          <w:rFonts w:hint="eastAsia" w:ascii="仿宋_GB2312" w:hAnsi="微软雅黑" w:eastAsia="仿宋_GB2312" w:cs="宋体"/>
          <w:color w:val="FF0000"/>
          <w:sz w:val="32"/>
          <w:szCs w:val="32"/>
          <w:lang w:eastAsia="zh-CN"/>
        </w:rPr>
        <w:t>低</w:t>
      </w:r>
      <w:r>
        <w:rPr>
          <w:rFonts w:hint="eastAsia" w:ascii="仿宋_GB2312" w:hAnsi="微软雅黑" w:eastAsia="仿宋_GB2312" w:cs="宋体"/>
          <w:color w:val="FF0000"/>
          <w:sz w:val="32"/>
          <w:szCs w:val="32"/>
        </w:rPr>
        <w:t>风险</w:t>
      </w:r>
      <w:r>
        <w:rPr>
          <w:rFonts w:ascii="仿宋_GB2312" w:hAnsi="微软雅黑" w:eastAsia="仿宋_GB2312" w:cs="宋体"/>
          <w:color w:val="FF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4.如有其他未尽事宜以私人银行部解释为准。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ascii="微软雅黑" w:hAnsi="微软雅黑" w:cs="宋体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信银理财安盈象固收稳利七天持有期55号理财产品风险揭示书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信银理财安盈象固收稳利七天持有期55号理财产品说明书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3.</w:t>
      </w:r>
      <w:r>
        <w:rPr>
          <w:rFonts w:hint="eastAsia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信银理财理财产品销售协议（适用于个人客户）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信银理财理财产品投资协议书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信银理财客户权益须知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760"/>
        <w:jc w:val="right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私人银行部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right"/>
        <w:textAlignment w:val="auto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202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年1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月1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463A12"/>
    <w:multiLevelType w:val="multilevel"/>
    <w:tmpl w:val="72463A1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07A45"/>
    <w:rsid w:val="00007B0F"/>
    <w:rsid w:val="000108F3"/>
    <w:rsid w:val="00010C68"/>
    <w:rsid w:val="00012652"/>
    <w:rsid w:val="00015217"/>
    <w:rsid w:val="00015DAC"/>
    <w:rsid w:val="0002233E"/>
    <w:rsid w:val="00023665"/>
    <w:rsid w:val="000263A0"/>
    <w:rsid w:val="00031FB1"/>
    <w:rsid w:val="000430CA"/>
    <w:rsid w:val="00050465"/>
    <w:rsid w:val="000547BB"/>
    <w:rsid w:val="00055752"/>
    <w:rsid w:val="000571BC"/>
    <w:rsid w:val="000609B0"/>
    <w:rsid w:val="0006322B"/>
    <w:rsid w:val="00067DDC"/>
    <w:rsid w:val="000729EB"/>
    <w:rsid w:val="00072D1A"/>
    <w:rsid w:val="000812F4"/>
    <w:rsid w:val="000819E6"/>
    <w:rsid w:val="000936F7"/>
    <w:rsid w:val="000957AC"/>
    <w:rsid w:val="00097209"/>
    <w:rsid w:val="000A5028"/>
    <w:rsid w:val="000D32F4"/>
    <w:rsid w:val="000E18A2"/>
    <w:rsid w:val="000E1B34"/>
    <w:rsid w:val="000E1FA9"/>
    <w:rsid w:val="000E7543"/>
    <w:rsid w:val="001005C6"/>
    <w:rsid w:val="0010440D"/>
    <w:rsid w:val="0012192B"/>
    <w:rsid w:val="001225F8"/>
    <w:rsid w:val="0013066D"/>
    <w:rsid w:val="00131A96"/>
    <w:rsid w:val="0013501E"/>
    <w:rsid w:val="00143D3D"/>
    <w:rsid w:val="00144E0E"/>
    <w:rsid w:val="001477A5"/>
    <w:rsid w:val="00152FB9"/>
    <w:rsid w:val="00157799"/>
    <w:rsid w:val="001642B1"/>
    <w:rsid w:val="00171A3A"/>
    <w:rsid w:val="00174CF3"/>
    <w:rsid w:val="00174FC8"/>
    <w:rsid w:val="001763AA"/>
    <w:rsid w:val="001A556D"/>
    <w:rsid w:val="001A6DC6"/>
    <w:rsid w:val="001B2273"/>
    <w:rsid w:val="001B7E33"/>
    <w:rsid w:val="001F72B5"/>
    <w:rsid w:val="00201E20"/>
    <w:rsid w:val="00206F8F"/>
    <w:rsid w:val="00216E71"/>
    <w:rsid w:val="002235BC"/>
    <w:rsid w:val="002317E9"/>
    <w:rsid w:val="00232543"/>
    <w:rsid w:val="00233CED"/>
    <w:rsid w:val="00236FDA"/>
    <w:rsid w:val="002422B4"/>
    <w:rsid w:val="002513BD"/>
    <w:rsid w:val="00251BF3"/>
    <w:rsid w:val="00277323"/>
    <w:rsid w:val="002777A1"/>
    <w:rsid w:val="00283408"/>
    <w:rsid w:val="002866F6"/>
    <w:rsid w:val="0029028F"/>
    <w:rsid w:val="002B1948"/>
    <w:rsid w:val="002C248B"/>
    <w:rsid w:val="002D396F"/>
    <w:rsid w:val="002D757D"/>
    <w:rsid w:val="002E3ECB"/>
    <w:rsid w:val="002F1002"/>
    <w:rsid w:val="003059D5"/>
    <w:rsid w:val="00306FE6"/>
    <w:rsid w:val="00307430"/>
    <w:rsid w:val="00322857"/>
    <w:rsid w:val="00322F4C"/>
    <w:rsid w:val="00323B43"/>
    <w:rsid w:val="003247F8"/>
    <w:rsid w:val="00340741"/>
    <w:rsid w:val="00347193"/>
    <w:rsid w:val="00353BA9"/>
    <w:rsid w:val="003720A3"/>
    <w:rsid w:val="00376FEA"/>
    <w:rsid w:val="003813E5"/>
    <w:rsid w:val="003874C3"/>
    <w:rsid w:val="003A1933"/>
    <w:rsid w:val="003C0D6B"/>
    <w:rsid w:val="003C1D41"/>
    <w:rsid w:val="003D2F9A"/>
    <w:rsid w:val="003D37D8"/>
    <w:rsid w:val="003D4715"/>
    <w:rsid w:val="00422AD1"/>
    <w:rsid w:val="00426133"/>
    <w:rsid w:val="00426162"/>
    <w:rsid w:val="004358AB"/>
    <w:rsid w:val="00443E90"/>
    <w:rsid w:val="00450005"/>
    <w:rsid w:val="00450334"/>
    <w:rsid w:val="0045680A"/>
    <w:rsid w:val="00462F3D"/>
    <w:rsid w:val="004633B0"/>
    <w:rsid w:val="00464293"/>
    <w:rsid w:val="004662D4"/>
    <w:rsid w:val="00476C3B"/>
    <w:rsid w:val="00484A94"/>
    <w:rsid w:val="00485549"/>
    <w:rsid w:val="0049140E"/>
    <w:rsid w:val="004A72FB"/>
    <w:rsid w:val="004B5451"/>
    <w:rsid w:val="004B5827"/>
    <w:rsid w:val="004C175A"/>
    <w:rsid w:val="004C7210"/>
    <w:rsid w:val="004D2CAE"/>
    <w:rsid w:val="005100BA"/>
    <w:rsid w:val="005168C5"/>
    <w:rsid w:val="005218F6"/>
    <w:rsid w:val="00522DB4"/>
    <w:rsid w:val="00523BDD"/>
    <w:rsid w:val="00536DF2"/>
    <w:rsid w:val="00543782"/>
    <w:rsid w:val="00556398"/>
    <w:rsid w:val="00596AF2"/>
    <w:rsid w:val="005B45CF"/>
    <w:rsid w:val="005B4703"/>
    <w:rsid w:val="005B4D07"/>
    <w:rsid w:val="005B62F6"/>
    <w:rsid w:val="005B7796"/>
    <w:rsid w:val="005C31E9"/>
    <w:rsid w:val="005C3BAB"/>
    <w:rsid w:val="005C59D9"/>
    <w:rsid w:val="005D072F"/>
    <w:rsid w:val="005D1CEE"/>
    <w:rsid w:val="005D3ACB"/>
    <w:rsid w:val="005F28C4"/>
    <w:rsid w:val="005F2B78"/>
    <w:rsid w:val="00604AF8"/>
    <w:rsid w:val="00606205"/>
    <w:rsid w:val="00607887"/>
    <w:rsid w:val="00607EC0"/>
    <w:rsid w:val="00610019"/>
    <w:rsid w:val="006110FC"/>
    <w:rsid w:val="00611544"/>
    <w:rsid w:val="006148C9"/>
    <w:rsid w:val="0061606F"/>
    <w:rsid w:val="006214F4"/>
    <w:rsid w:val="0062215C"/>
    <w:rsid w:val="00633DBB"/>
    <w:rsid w:val="00656C6E"/>
    <w:rsid w:val="00664732"/>
    <w:rsid w:val="00665EFD"/>
    <w:rsid w:val="00671CB5"/>
    <w:rsid w:val="00672E93"/>
    <w:rsid w:val="00692B80"/>
    <w:rsid w:val="006A2B25"/>
    <w:rsid w:val="006A3869"/>
    <w:rsid w:val="006B534A"/>
    <w:rsid w:val="006C44CC"/>
    <w:rsid w:val="006D4378"/>
    <w:rsid w:val="006D643B"/>
    <w:rsid w:val="006F7634"/>
    <w:rsid w:val="006F7825"/>
    <w:rsid w:val="00701C74"/>
    <w:rsid w:val="0070239F"/>
    <w:rsid w:val="00707DF8"/>
    <w:rsid w:val="0071497F"/>
    <w:rsid w:val="007248B8"/>
    <w:rsid w:val="0073205A"/>
    <w:rsid w:val="007353CA"/>
    <w:rsid w:val="0073541E"/>
    <w:rsid w:val="00740E8C"/>
    <w:rsid w:val="00741563"/>
    <w:rsid w:val="007675CD"/>
    <w:rsid w:val="00774A8F"/>
    <w:rsid w:val="00776CED"/>
    <w:rsid w:val="00783419"/>
    <w:rsid w:val="00793A91"/>
    <w:rsid w:val="00795DC6"/>
    <w:rsid w:val="007B320A"/>
    <w:rsid w:val="007C4E2D"/>
    <w:rsid w:val="007D35F2"/>
    <w:rsid w:val="007D71A4"/>
    <w:rsid w:val="00800D3C"/>
    <w:rsid w:val="00812FBA"/>
    <w:rsid w:val="00816194"/>
    <w:rsid w:val="00822531"/>
    <w:rsid w:val="008301EB"/>
    <w:rsid w:val="008316FD"/>
    <w:rsid w:val="008370FB"/>
    <w:rsid w:val="008450A8"/>
    <w:rsid w:val="008507C0"/>
    <w:rsid w:val="00854BCB"/>
    <w:rsid w:val="00867E9B"/>
    <w:rsid w:val="00884835"/>
    <w:rsid w:val="00887C39"/>
    <w:rsid w:val="00893277"/>
    <w:rsid w:val="00896D1C"/>
    <w:rsid w:val="008A6AC1"/>
    <w:rsid w:val="008B008A"/>
    <w:rsid w:val="008B272C"/>
    <w:rsid w:val="008B2745"/>
    <w:rsid w:val="008B4334"/>
    <w:rsid w:val="008B6523"/>
    <w:rsid w:val="008B6A98"/>
    <w:rsid w:val="008B7726"/>
    <w:rsid w:val="008C5458"/>
    <w:rsid w:val="008D6E85"/>
    <w:rsid w:val="008F2B7A"/>
    <w:rsid w:val="008F7CA5"/>
    <w:rsid w:val="00903E35"/>
    <w:rsid w:val="00907309"/>
    <w:rsid w:val="00911DE1"/>
    <w:rsid w:val="0092193A"/>
    <w:rsid w:val="00921DC2"/>
    <w:rsid w:val="00932126"/>
    <w:rsid w:val="009511C5"/>
    <w:rsid w:val="00951BFC"/>
    <w:rsid w:val="00953E58"/>
    <w:rsid w:val="0096633A"/>
    <w:rsid w:val="0096677C"/>
    <w:rsid w:val="00985236"/>
    <w:rsid w:val="00986A17"/>
    <w:rsid w:val="00986BCF"/>
    <w:rsid w:val="00996AC4"/>
    <w:rsid w:val="009A6871"/>
    <w:rsid w:val="009B1BA8"/>
    <w:rsid w:val="009B2786"/>
    <w:rsid w:val="009B3A06"/>
    <w:rsid w:val="009D5354"/>
    <w:rsid w:val="009E16F2"/>
    <w:rsid w:val="009F3DF4"/>
    <w:rsid w:val="00A04EFB"/>
    <w:rsid w:val="00A12119"/>
    <w:rsid w:val="00A212F3"/>
    <w:rsid w:val="00A215C9"/>
    <w:rsid w:val="00A30CF8"/>
    <w:rsid w:val="00A320D8"/>
    <w:rsid w:val="00A33F3D"/>
    <w:rsid w:val="00A372BB"/>
    <w:rsid w:val="00A40C60"/>
    <w:rsid w:val="00A46439"/>
    <w:rsid w:val="00A6466C"/>
    <w:rsid w:val="00A656CD"/>
    <w:rsid w:val="00A6775F"/>
    <w:rsid w:val="00A726ED"/>
    <w:rsid w:val="00A838DC"/>
    <w:rsid w:val="00A84AE0"/>
    <w:rsid w:val="00A9135E"/>
    <w:rsid w:val="00AA23FA"/>
    <w:rsid w:val="00AA4E34"/>
    <w:rsid w:val="00AB6BA4"/>
    <w:rsid w:val="00AC6774"/>
    <w:rsid w:val="00AD4C9C"/>
    <w:rsid w:val="00AE6487"/>
    <w:rsid w:val="00AE6C64"/>
    <w:rsid w:val="00B01B88"/>
    <w:rsid w:val="00B100EF"/>
    <w:rsid w:val="00B11389"/>
    <w:rsid w:val="00B12517"/>
    <w:rsid w:val="00B126A7"/>
    <w:rsid w:val="00B22801"/>
    <w:rsid w:val="00B24A4C"/>
    <w:rsid w:val="00B27E33"/>
    <w:rsid w:val="00B4326E"/>
    <w:rsid w:val="00B562D4"/>
    <w:rsid w:val="00B60D12"/>
    <w:rsid w:val="00B6677A"/>
    <w:rsid w:val="00B73A10"/>
    <w:rsid w:val="00B73AC3"/>
    <w:rsid w:val="00B74200"/>
    <w:rsid w:val="00B74951"/>
    <w:rsid w:val="00B82938"/>
    <w:rsid w:val="00B93CFE"/>
    <w:rsid w:val="00BB13C2"/>
    <w:rsid w:val="00BB5D59"/>
    <w:rsid w:val="00C00041"/>
    <w:rsid w:val="00C031DA"/>
    <w:rsid w:val="00C15704"/>
    <w:rsid w:val="00C23A87"/>
    <w:rsid w:val="00C468C3"/>
    <w:rsid w:val="00C66A8C"/>
    <w:rsid w:val="00C71423"/>
    <w:rsid w:val="00C764BE"/>
    <w:rsid w:val="00C857A9"/>
    <w:rsid w:val="00CA308C"/>
    <w:rsid w:val="00CB16FF"/>
    <w:rsid w:val="00CB29BA"/>
    <w:rsid w:val="00CC2EB3"/>
    <w:rsid w:val="00CD328F"/>
    <w:rsid w:val="00CD74BD"/>
    <w:rsid w:val="00CE384A"/>
    <w:rsid w:val="00CF46C2"/>
    <w:rsid w:val="00CF63E7"/>
    <w:rsid w:val="00D01BC1"/>
    <w:rsid w:val="00D10241"/>
    <w:rsid w:val="00D31D50"/>
    <w:rsid w:val="00D42DFD"/>
    <w:rsid w:val="00D476F9"/>
    <w:rsid w:val="00D5491D"/>
    <w:rsid w:val="00D56293"/>
    <w:rsid w:val="00D67754"/>
    <w:rsid w:val="00D763B7"/>
    <w:rsid w:val="00D85401"/>
    <w:rsid w:val="00D87A8A"/>
    <w:rsid w:val="00D97534"/>
    <w:rsid w:val="00DA293F"/>
    <w:rsid w:val="00DA473D"/>
    <w:rsid w:val="00DB267C"/>
    <w:rsid w:val="00DC02CD"/>
    <w:rsid w:val="00DC08E6"/>
    <w:rsid w:val="00DD01FE"/>
    <w:rsid w:val="00DE0EDD"/>
    <w:rsid w:val="00DE145A"/>
    <w:rsid w:val="00DF0BC2"/>
    <w:rsid w:val="00DF4A6E"/>
    <w:rsid w:val="00E05633"/>
    <w:rsid w:val="00E13180"/>
    <w:rsid w:val="00E148A2"/>
    <w:rsid w:val="00E14B44"/>
    <w:rsid w:val="00E161F9"/>
    <w:rsid w:val="00E210A0"/>
    <w:rsid w:val="00E342C9"/>
    <w:rsid w:val="00E35A97"/>
    <w:rsid w:val="00E4304A"/>
    <w:rsid w:val="00E4505D"/>
    <w:rsid w:val="00E45BB8"/>
    <w:rsid w:val="00E51943"/>
    <w:rsid w:val="00E63BFD"/>
    <w:rsid w:val="00E65FB9"/>
    <w:rsid w:val="00E66C57"/>
    <w:rsid w:val="00E679DB"/>
    <w:rsid w:val="00E774C6"/>
    <w:rsid w:val="00E807D3"/>
    <w:rsid w:val="00E83642"/>
    <w:rsid w:val="00EA1489"/>
    <w:rsid w:val="00EB4102"/>
    <w:rsid w:val="00EB4E98"/>
    <w:rsid w:val="00EB7C16"/>
    <w:rsid w:val="00EC780B"/>
    <w:rsid w:val="00EC7A9C"/>
    <w:rsid w:val="00EE2BF0"/>
    <w:rsid w:val="00EE50F7"/>
    <w:rsid w:val="00EF45B7"/>
    <w:rsid w:val="00EF54D3"/>
    <w:rsid w:val="00EF5899"/>
    <w:rsid w:val="00F01F77"/>
    <w:rsid w:val="00F02F9C"/>
    <w:rsid w:val="00F04234"/>
    <w:rsid w:val="00F15448"/>
    <w:rsid w:val="00F21AAA"/>
    <w:rsid w:val="00F340F3"/>
    <w:rsid w:val="00F535DE"/>
    <w:rsid w:val="00F56107"/>
    <w:rsid w:val="00F634A7"/>
    <w:rsid w:val="00F805F0"/>
    <w:rsid w:val="00F864A1"/>
    <w:rsid w:val="00F957A8"/>
    <w:rsid w:val="00F97C18"/>
    <w:rsid w:val="00FA233C"/>
    <w:rsid w:val="00FC73A4"/>
    <w:rsid w:val="00FD35EB"/>
    <w:rsid w:val="00FE0475"/>
    <w:rsid w:val="00FE272F"/>
    <w:rsid w:val="00FF20E5"/>
    <w:rsid w:val="00FF3EEA"/>
    <w:rsid w:val="074A2176"/>
    <w:rsid w:val="07527F15"/>
    <w:rsid w:val="0AB33FF3"/>
    <w:rsid w:val="0B432900"/>
    <w:rsid w:val="0C0635E6"/>
    <w:rsid w:val="2D804DBE"/>
    <w:rsid w:val="325B3793"/>
    <w:rsid w:val="3B550E9F"/>
    <w:rsid w:val="3E3871C6"/>
    <w:rsid w:val="3F3D1707"/>
    <w:rsid w:val="426823FD"/>
    <w:rsid w:val="4690560F"/>
    <w:rsid w:val="4B702A6C"/>
    <w:rsid w:val="55630990"/>
    <w:rsid w:val="5A3469C0"/>
    <w:rsid w:val="5AEC1BD4"/>
    <w:rsid w:val="61070171"/>
    <w:rsid w:val="63F34D6C"/>
    <w:rsid w:val="66D83D00"/>
    <w:rsid w:val="6BDB2263"/>
    <w:rsid w:val="6CB05102"/>
    <w:rsid w:val="70BC338B"/>
    <w:rsid w:val="7786347A"/>
    <w:rsid w:val="77C13657"/>
    <w:rsid w:val="77C46917"/>
    <w:rsid w:val="79E85921"/>
    <w:rsid w:val="7C6067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9"/>
    <w:link w:val="6"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ahoma" w:hAnsi="Tahoma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批注框文本 Char"/>
    <w:basedOn w:val="9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6">
    <w:name w:val="日期 Char"/>
    <w:basedOn w:val="9"/>
    <w:link w:val="3"/>
    <w:semiHidden/>
    <w:qFormat/>
    <w:uiPriority w:val="99"/>
    <w:rPr>
      <w:rFonts w:ascii="Tahoma" w:hAnsi="Tahoma"/>
    </w:rPr>
  </w:style>
  <w:style w:type="table" w:customStyle="1" w:styleId="17">
    <w:name w:val="Table Normal"/>
    <w:semiHidden/>
    <w:unhideWhenUsed/>
    <w:qFormat/>
    <w:uiPriority w:val="0"/>
    <w:rPr>
      <w:rFonts w:ascii="Arial" w:hAnsi="Arial" w:cs="Arial" w:eastAsiaTheme="minorEastAsia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Normal (Web)76988347"/>
    <w:next w:val="6"/>
    <w:qFormat/>
    <w:uiPriority w:val="0"/>
    <w:pPr>
      <w:spacing w:before="102" w:after="102" w:line="1099" w:lineRule="atLeast"/>
      <w:ind w:firstLine="419"/>
      <w:textAlignment w:val="baseline"/>
    </w:pPr>
    <w:rPr>
      <w:rFonts w:ascii="方正黑体_GBK" w:hAnsi="方正黑体_GBK" w:eastAsia="方正黑体_GBK" w:cs="Times New Roman"/>
      <w:sz w:val="24"/>
      <w:szCs w:val="24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DFE6C-F2A4-4F5F-BB65-0E9F1B7B5B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424</Words>
  <Characters>2420</Characters>
  <Lines>20</Lines>
  <Paragraphs>5</Paragraphs>
  <TotalTime>6</TotalTime>
  <ScaleCrop>false</ScaleCrop>
  <LinksUpToDate>false</LinksUpToDate>
  <CharactersWithSpaces>2839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2023-05-23T01:55:00Z</dcterms:created>
  <dc:creator>Administrator</dc:creator>
  <cp:lastModifiedBy>lenovo</cp:lastModifiedBy>
  <cp:lastPrinted>2022-09-15T07:23:00Z</cp:lastPrinted>
  <dcterms:modified xsi:type="dcterms:W3CDTF">2024-11-19T08:37:22Z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55B1A358E2294A458B9C1BD86FEB5CE3</vt:lpwstr>
  </property>
</Properties>
</file>