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苏银理财恒源封闭债权207期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在购买本理财产品前，投资者应确保自己完全理解该项投资的性质和所涉及的风险，详细了解和审慎评估该理财产品的资金</w:t>
      </w:r>
      <w:r>
        <w:rPr>
          <w:rFonts w:hint="eastAsia" w:ascii="楷体" w:hAnsi="楷体" w:eastAsia="楷体"/>
          <w:sz w:val="21"/>
          <w:szCs w:val="21"/>
          <w:lang w:val="en-US" w:eastAsia="zh-CN"/>
        </w:rPr>
        <w:t>投向</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等。请仔细阅读《“苏银理财恒源</w:t>
      </w:r>
      <w:r>
        <w:rPr>
          <w:rFonts w:hint="eastAsia" w:ascii="楷体" w:hAnsi="楷体" w:eastAsia="楷体"/>
          <w:sz w:val="21"/>
          <w:szCs w:val="21"/>
          <w:lang w:eastAsia="zh-CN"/>
        </w:rPr>
        <w:t>封闭债权207期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苏银理财恒源封闭债权207期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Z7003125000221，</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A份额：苏银理财恒源封闭债权207期13月A/J07470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B份额：苏银理财恒源封闭债权207期13月B/J07471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C份额：苏银理财恒源封闭债权207期13月C/J07472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D份额：苏银理财恒源封闭债权207期13月D/J07473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E份额：苏银理财恒源封闭债权207期13月E/J07474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F份额：苏银理财恒源封闭债权207期13月F/J07475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G份额：苏银理财恒源封闭债权207期13月G/J07476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H份额：苏银理财恒源封闭债权207期13月H/J07477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I份额：苏银理财恒源封闭债权207期13月I/J07478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J份额：苏银理财恒源封闭债权207期13月J/J07479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K份额：苏银理财恒源封闭债权207期13月K/J07480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L份额：苏银理财恒源封闭债权207期13月L/J07481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M份额：苏银理财恒源封闭债权207期13月M/J07482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N份额：苏银理财恒源封闭债权207期13月N/J07483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Z份额：苏银理财恒源封闭债权207期13月Z/J07484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JS份额：苏银理财恒源封闭债权207期13月JS鑫福款/J07485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·优选份额：苏银理财恒源封闭债权207期13月（芙蓉锦程 ·优选）/J07486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A/B/D/F/G/H/I/J/K/L/N/Z/JS/芙蓉锦程 ·优选份额：1元/1元的整数倍；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4</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2025年9月10日，如管理人调整募集期，则产品成立日/份额登记日将相应调整，以管理人公告为准。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384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bookmarkStart w:id="0" w:name="_GoBack"/>
            <w:bookmarkEnd w:id="0"/>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2.65%-3.05%；B份额：2.60%-3.00%；C份额：2.70%-3.10%；D份额：2.60%-3.00%；E份额：2.75%-3.15%；F份额：2.60%-3.00%；G份额：2.50%-2.90%；H份额：2.40%-2.80%；I份额：2.60%-3.00%；J份额：2.55%-2.95%；K份额：2.75%-3.15%；L份额：2.65%-3.05%；M份额：2.40%-2.80%；N份额：2.70%-3.10%；Z份额：2.70%-3.10%；JS份额：2.60%-3.00%；芙蓉锦程 ·优选份额：2.65%-3.05%。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D份额：宁波通商银行股份有限公司/宁波东海银行股份有限公司/广州农村商业银行股份有限公司/武汉农村商业银行股份有限公司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F份额：莱商银行股份有限公司/威海银行股份有限公司/潍坊银行股份有限公司/齐鲁银行股份有限公司/嘉兴银行股份有限公司/北京农村商业银行股份有限公司/青岛银行股份有限公司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G份额：江苏苏州农村商业银行股份有限公司/山西银行股份有限公司/交通银行股份有限公司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J份额：浙江桐庐农村商业银行股份有限公司/浙江新昌农村商业银行股份有限公司/浙江武义农村商业银行股份有限公司/浙江平湖农村商业银行股份有限公司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K份额：青岛银行股份有限公司/日照银行股份有限公司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L份额：青岛银行股份有限公司/浙江杭州余杭农村商业银行股份有限公司/浙江萧山农村商业银行股份有限公司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N份额：浙江海宁农村商业银行股份有限公司/浙江舟山定海海洋农村商业银行股份有限公司/浙江舟山普陀农村商业银行股份有限公司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Z份额：莱商银行股份有限公司/郑州银行股份有限公司/齐鲁银行股份有限公司/青岛银行股份有限公司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2025-08-28T01:52:21Z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