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snapToGrid/>
        <w:spacing w:after="0"/>
        <w:jc w:val="center"/>
        <w:rPr>
          <w:rFonts w:ascii="宋体" w:hAnsi="宋体" w:eastAsia="宋体" w:cs="宋体"/>
          <w:sz w:val="24"/>
          <w:szCs w:val="24"/>
        </w:rPr>
      </w:pPr>
      <w:r>
        <w:rPr>
          <w:rFonts w:hint="eastAsia" w:ascii="宋体" w:hAnsi="宋体" w:eastAsia="宋体" w:cs="宋体"/>
          <w:b/>
          <w:bCs/>
          <w:sz w:val="36"/>
        </w:rPr>
        <w:t>关于代销</w:t>
      </w:r>
      <w:r>
        <w:rPr>
          <w:rFonts w:hint="eastAsia" w:ascii="宋体" w:hAnsi="宋体" w:eastAsia="宋体" w:cs="宋体"/>
          <w:b/>
          <w:bCs/>
          <w:sz w:val="36"/>
          <w:lang w:eastAsia="zh-CN"/>
        </w:rPr>
        <w:t>苏银理财恒源最短持有90天</w:t>
      </w:r>
      <w:r>
        <w:rPr>
          <w:rFonts w:hint="eastAsia" w:ascii="宋体" w:hAnsi="宋体" w:eastAsia="宋体" w:cs="宋体"/>
          <w:b/>
          <w:bCs/>
          <w:sz w:val="36"/>
        </w:rPr>
        <w:t>的通知</w:t>
      </w:r>
    </w:p>
    <w:p>
      <w:pPr>
        <w:adjustRightInd/>
        <w:snapToGrid/>
        <w:spacing w:after="0" w:line="555" w:lineRule="atLeast"/>
        <w:rPr>
          <w:rFonts w:ascii="微软雅黑" w:hAnsi="微软雅黑" w:cs="宋体"/>
          <w:color w:val="000000"/>
          <w:sz w:val="30"/>
          <w:szCs w:val="30"/>
        </w:rPr>
      </w:pPr>
      <w:r>
        <w:rPr>
          <w:rFonts w:hint="eastAsia" w:ascii="仿宋_GB2312" w:hAnsi="微软雅黑" w:eastAsia="仿宋_GB2312" w:cs="宋体"/>
          <w:color w:val="000000"/>
          <w:sz w:val="32"/>
          <w:szCs w:val="32"/>
        </w:rPr>
        <w:t>各分(支)行、总行营业部：</w:t>
      </w:r>
    </w:p>
    <w:p>
      <w:pPr>
        <w:adjustRightInd/>
        <w:snapToGrid/>
        <w:spacing w:after="0"/>
        <w:ind w:firstLine="630"/>
        <w:rPr>
          <w:rFonts w:ascii="仿宋_GB2312" w:hAnsi="微软雅黑" w:eastAsia="仿宋_GB2312" w:cs="宋体"/>
          <w:color w:val="000000"/>
          <w:sz w:val="32"/>
          <w:szCs w:val="32"/>
        </w:rPr>
      </w:pPr>
      <w:r>
        <w:rPr>
          <w:rFonts w:hint="eastAsia" w:ascii="仿宋_GB2312" w:hAnsi="微软雅黑" w:eastAsia="仿宋_GB2312" w:cs="宋体"/>
          <w:color w:val="000000"/>
          <w:sz w:val="32"/>
          <w:szCs w:val="32"/>
        </w:rPr>
        <w:t>我行代销</w:t>
      </w:r>
      <w:r>
        <w:rPr>
          <w:rFonts w:hint="eastAsia" w:ascii="仿宋_GB2312" w:hAnsi="微软雅黑" w:eastAsia="仿宋_GB2312" w:cs="宋体"/>
          <w:color w:val="FF0000"/>
          <w:sz w:val="32"/>
          <w:szCs w:val="32"/>
        </w:rPr>
        <w:t>苏银理财有限责任公司</w:t>
      </w:r>
      <w:r>
        <w:rPr>
          <w:rFonts w:hint="eastAsia" w:ascii="仿宋_GB2312" w:hAnsi="微软雅黑" w:eastAsia="仿宋_GB2312" w:cs="宋体"/>
          <w:color w:val="000000"/>
          <w:sz w:val="32"/>
          <w:szCs w:val="32"/>
        </w:rPr>
        <w:t>发行的</w:t>
      </w:r>
      <w:r>
        <w:rPr>
          <w:rFonts w:hint="eastAsia" w:ascii="仿宋_GB2312" w:hAnsi="微软雅黑" w:eastAsia="仿宋_GB2312" w:cs="宋体"/>
          <w:color w:val="000000"/>
          <w:sz w:val="32"/>
          <w:szCs w:val="32"/>
          <w:lang w:eastAsia="zh-CN"/>
        </w:rPr>
        <w:t>苏银理财恒源最短持有90天</w:t>
      </w:r>
      <w:r>
        <w:rPr>
          <w:rFonts w:hint="eastAsia" w:ascii="仿宋_GB2312" w:hAnsi="微软雅黑" w:eastAsia="仿宋_GB2312" w:cs="宋体"/>
          <w:color w:val="000000"/>
          <w:sz w:val="32"/>
          <w:szCs w:val="32"/>
        </w:rPr>
        <w:t>将</w:t>
      </w:r>
      <w:r>
        <w:rPr>
          <w:rFonts w:hint="eastAsia" w:ascii="仿宋_GB2312" w:hAnsi="微软雅黑" w:eastAsia="仿宋_GB2312" w:cs="宋体"/>
          <w:sz w:val="32"/>
          <w:szCs w:val="32"/>
        </w:rPr>
        <w:t>于</w:t>
      </w:r>
      <w:r>
        <w:rPr>
          <w:rFonts w:hint="eastAsia" w:ascii="仿宋_GB2312" w:hAnsi="微软雅黑" w:eastAsia="仿宋_GB2312" w:cs="宋体"/>
          <w:color w:val="FF0000"/>
          <w:sz w:val="32"/>
          <w:szCs w:val="32"/>
        </w:rPr>
        <w:t>2025年</w:t>
      </w:r>
      <w:r>
        <w:rPr>
          <w:rFonts w:hint="eastAsia" w:ascii="仿宋_GB2312" w:hAnsi="微软雅黑" w:eastAsia="仿宋_GB2312" w:cs="宋体"/>
          <w:color w:val="FF0000"/>
          <w:sz w:val="32"/>
          <w:szCs w:val="32"/>
          <w:lang w:val="en-US" w:eastAsia="zh-CN"/>
        </w:rPr>
        <w:t>9</w:t>
      </w:r>
      <w:r>
        <w:rPr>
          <w:rFonts w:hint="eastAsia" w:ascii="仿宋_GB2312" w:hAnsi="微软雅黑" w:eastAsia="仿宋_GB2312" w:cs="宋体"/>
          <w:color w:val="FF0000"/>
          <w:sz w:val="32"/>
          <w:szCs w:val="32"/>
        </w:rPr>
        <w:t>月</w:t>
      </w:r>
      <w:r>
        <w:rPr>
          <w:rFonts w:hint="eastAsia" w:ascii="仿宋_GB2312" w:hAnsi="微软雅黑" w:eastAsia="仿宋_GB2312" w:cs="宋体"/>
          <w:color w:val="FF0000"/>
          <w:sz w:val="32"/>
          <w:szCs w:val="32"/>
          <w:lang w:val="en-US" w:eastAsia="zh-CN"/>
        </w:rPr>
        <w:t>8</w:t>
      </w:r>
      <w:r>
        <w:rPr>
          <w:rFonts w:hint="eastAsia" w:ascii="仿宋_GB2312" w:hAnsi="微软雅黑" w:eastAsia="仿宋_GB2312" w:cs="宋体"/>
          <w:color w:val="FF0000"/>
          <w:sz w:val="32"/>
          <w:szCs w:val="32"/>
        </w:rPr>
        <w:t>日起</w:t>
      </w:r>
      <w:r>
        <w:rPr>
          <w:rFonts w:hint="eastAsia" w:ascii="仿宋_GB2312" w:hAnsi="微软雅黑" w:eastAsia="仿宋_GB2312" w:cs="宋体"/>
          <w:color w:val="auto"/>
          <w:sz w:val="32"/>
          <w:szCs w:val="32"/>
          <w:lang w:eastAsia="zh-CN"/>
        </w:rPr>
        <w:t>在我行</w:t>
      </w:r>
      <w:r>
        <w:rPr>
          <w:rFonts w:hint="eastAsia" w:ascii="仿宋_GB2312" w:hAnsi="微软雅黑" w:eastAsia="仿宋_GB2312" w:cs="宋体"/>
          <w:sz w:val="32"/>
          <w:szCs w:val="32"/>
        </w:rPr>
        <w:t>销售，</w:t>
      </w:r>
      <w:r>
        <w:rPr>
          <w:rFonts w:hint="eastAsia" w:ascii="仿宋_GB2312" w:hAnsi="微软雅黑" w:eastAsia="仿宋_GB2312" w:cs="宋体"/>
          <w:color w:val="000000"/>
          <w:sz w:val="32"/>
          <w:szCs w:val="32"/>
        </w:rPr>
        <w:t>目前在</w:t>
      </w:r>
      <w:r>
        <w:rPr>
          <w:rFonts w:hint="eastAsia" w:ascii="仿宋_GB2312" w:hAnsi="微软雅黑" w:eastAsia="仿宋_GB2312" w:cs="宋体"/>
          <w:color w:val="FF0000"/>
          <w:sz w:val="32"/>
          <w:szCs w:val="32"/>
        </w:rPr>
        <w:t>柜面</w:t>
      </w:r>
      <w:r>
        <w:rPr>
          <w:rFonts w:hint="eastAsia" w:ascii="仿宋_GB2312" w:hAnsi="微软雅黑" w:eastAsia="仿宋_GB2312" w:cs="宋体"/>
          <w:color w:val="000000"/>
          <w:sz w:val="32"/>
          <w:szCs w:val="32"/>
        </w:rPr>
        <w:t>和</w:t>
      </w:r>
      <w:r>
        <w:rPr>
          <w:rFonts w:hint="eastAsia" w:ascii="仿宋_GB2312" w:hAnsi="微软雅黑" w:eastAsia="仿宋_GB2312" w:cs="宋体"/>
          <w:color w:val="FF0000"/>
          <w:sz w:val="32"/>
          <w:szCs w:val="32"/>
        </w:rPr>
        <w:t>手机银行</w:t>
      </w:r>
      <w:r>
        <w:rPr>
          <w:rFonts w:hint="eastAsia" w:ascii="仿宋_GB2312" w:hAnsi="微软雅黑" w:eastAsia="仿宋_GB2312" w:cs="宋体"/>
          <w:color w:val="000000" w:themeColor="text1"/>
          <w:sz w:val="32"/>
          <w:szCs w:val="32"/>
        </w:rPr>
        <w:t>等</w:t>
      </w:r>
      <w:r>
        <w:rPr>
          <w:rFonts w:hint="eastAsia" w:ascii="仿宋_GB2312" w:hAnsi="微软雅黑" w:eastAsia="仿宋_GB2312" w:cs="宋体"/>
          <w:color w:val="000000"/>
          <w:sz w:val="32"/>
          <w:szCs w:val="32"/>
        </w:rPr>
        <w:t>销售。销售服务费率为0.</w:t>
      </w:r>
      <w:r>
        <w:rPr>
          <w:rFonts w:hint="eastAsia" w:ascii="仿宋_GB2312" w:hAnsi="微软雅黑" w:eastAsia="仿宋_GB2312" w:cs="宋体"/>
          <w:color w:val="000000"/>
          <w:sz w:val="32"/>
          <w:szCs w:val="32"/>
          <w:lang w:val="en-US" w:eastAsia="zh-CN"/>
        </w:rPr>
        <w:t>25</w:t>
      </w:r>
      <w:r>
        <w:rPr>
          <w:rFonts w:hint="eastAsia" w:ascii="仿宋_GB2312" w:hAnsi="微软雅黑" w:eastAsia="仿宋_GB2312" w:cs="宋体"/>
          <w:color w:val="000000"/>
          <w:sz w:val="32"/>
          <w:szCs w:val="32"/>
        </w:rPr>
        <w:t>%/年。部分要素如下：</w:t>
      </w:r>
    </w:p>
    <w:tbl>
      <w:tblPr>
        <w:tblStyle w:val="7"/>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15"/>
              <w:keepNext w:val="0"/>
              <w:keepLines w:val="0"/>
              <w:pageBreakBefore w:val="0"/>
              <w:widowControl w:val="0"/>
              <w:kinsoku w:val="0"/>
              <w:wordWrap/>
              <w:overflowPunct w:val="0"/>
              <w:topLinePunct w:val="0"/>
              <w:autoSpaceDE/>
              <w:autoSpaceDN/>
              <w:bidi w:val="0"/>
              <w:adjustRightInd w:val="0"/>
              <w:snapToGrid w:val="0"/>
              <w:ind w:left="22" w:leftChars="10" w:right="22"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产品名称</w:t>
            </w:r>
          </w:p>
        </w:tc>
        <w:tc>
          <w:tcPr>
            <w:tcW w:w="7937" w:type="dxa"/>
            <w:noWrap w:val="0"/>
            <w:vAlign w:val="center"/>
          </w:tcPr>
          <w:p>
            <w:pPr>
              <w:pStyle w:val="15"/>
              <w:keepNext w:val="0"/>
              <w:keepLines w:val="0"/>
              <w:pageBreakBefore w:val="0"/>
              <w:widowControl w:val="0"/>
              <w:kinsoku w:val="0"/>
              <w:wordWrap/>
              <w:overflowPunct w:val="0"/>
              <w:topLinePunct w:val="0"/>
              <w:autoSpaceDE/>
              <w:autoSpaceDN/>
              <w:bidi w:val="0"/>
              <w:adjustRightInd w:val="0"/>
              <w:snapToGrid w:val="0"/>
              <w:spacing w:line="240" w:lineRule="auto"/>
              <w:ind w:left="22" w:leftChars="10" w:right="22" w:rightChars="1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eastAsia="zh-CN"/>
              </w:rPr>
              <w:t>苏银理财恒源最短持有90天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15"/>
              <w:keepNext w:val="0"/>
              <w:keepLines w:val="0"/>
              <w:pageBreakBefore w:val="0"/>
              <w:widowControl w:val="0"/>
              <w:kinsoku w:val="0"/>
              <w:wordWrap/>
              <w:overflowPunct w:val="0"/>
              <w:topLinePunct w:val="0"/>
              <w:autoSpaceDE/>
              <w:autoSpaceDN/>
              <w:bidi w:val="0"/>
              <w:adjustRightInd w:val="0"/>
              <w:snapToGrid w:val="0"/>
              <w:ind w:left="22" w:leftChars="10" w:right="22"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理财产品登记编码</w:t>
            </w:r>
          </w:p>
        </w:tc>
        <w:tc>
          <w:tcPr>
            <w:tcW w:w="7937" w:type="dxa"/>
            <w:noWrap w:val="0"/>
            <w:vAlign w:val="center"/>
          </w:tcPr>
          <w:p>
            <w:pPr>
              <w:pStyle w:val="15"/>
              <w:keepNext w:val="0"/>
              <w:keepLines w:val="0"/>
              <w:pageBreakBefore w:val="0"/>
              <w:widowControl w:val="0"/>
              <w:kinsoku w:val="0"/>
              <w:wordWrap/>
              <w:overflowPunct w:val="0"/>
              <w:topLinePunct w:val="0"/>
              <w:autoSpaceDE/>
              <w:autoSpaceDN/>
              <w:bidi w:val="0"/>
              <w:adjustRightInd w:val="0"/>
              <w:snapToGrid w:val="0"/>
              <w:spacing w:line="240" w:lineRule="auto"/>
              <w:ind w:left="22" w:leftChars="10" w:right="22" w:rightChars="10"/>
              <w:jc w:val="both"/>
              <w:textAlignment w:val="auto"/>
              <w:rPr>
                <w:rFonts w:ascii="楷体" w:hAnsi="楷体" w:eastAsia="楷体" w:cs="宋体"/>
                <w:spacing w:val="-2"/>
                <w:sz w:val="18"/>
                <w:szCs w:val="18"/>
                <w:highlight w:val="none"/>
              </w:rPr>
            </w:pPr>
            <w:r>
              <w:rPr>
                <w:rFonts w:hint="default" w:ascii="楷体" w:hAnsi="楷体" w:eastAsia="楷体" w:cs="宋体"/>
                <w:spacing w:val="-2"/>
                <w:sz w:val="18"/>
                <w:szCs w:val="18"/>
                <w:highlight w:val="none"/>
                <w:lang w:val="en-US" w:eastAsia="zh-CN"/>
              </w:rPr>
              <w:t>Z7003122000081，投资者可依据该编码在中国理财网www.chinawealth.com.cn查询产品信息。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15"/>
              <w:keepNext w:val="0"/>
              <w:keepLines w:val="0"/>
              <w:pageBreakBefore w:val="0"/>
              <w:widowControl w:val="0"/>
              <w:kinsoku w:val="0"/>
              <w:wordWrap/>
              <w:overflowPunct w:val="0"/>
              <w:topLinePunct w:val="0"/>
              <w:autoSpaceDE/>
              <w:autoSpaceDN/>
              <w:bidi w:val="0"/>
              <w:adjustRightInd w:val="0"/>
              <w:snapToGrid w:val="0"/>
              <w:ind w:left="22" w:leftChars="10" w:right="22"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lang w:val="en-US" w:eastAsia="zh-CN"/>
              </w:rPr>
              <w:t>销售名称</w:t>
            </w:r>
            <w:r>
              <w:rPr>
                <w:rFonts w:hint="eastAsia" w:ascii="楷体" w:hAnsi="楷体" w:eastAsia="楷体" w:cs="宋体"/>
                <w:b/>
                <w:spacing w:val="-2"/>
                <w:sz w:val="18"/>
                <w:szCs w:val="18"/>
                <w:highlight w:val="none"/>
              </w:rPr>
              <w:t>/销售代码</w:t>
            </w:r>
          </w:p>
        </w:tc>
        <w:tc>
          <w:tcPr>
            <w:tcW w:w="7937" w:type="dxa"/>
            <w:noWrap w:val="0"/>
            <w:vAlign w:val="center"/>
          </w:tcPr>
          <w:p>
            <w:pPr>
              <w:pStyle w:val="15"/>
              <w:keepNext w:val="0"/>
              <w:keepLines w:val="0"/>
              <w:pageBreakBefore w:val="0"/>
              <w:widowControl w:val="0"/>
              <w:kinsoku w:val="0"/>
              <w:wordWrap/>
              <w:overflowPunct w:val="0"/>
              <w:topLinePunct w:val="0"/>
              <w:autoSpaceDE/>
              <w:autoSpaceDN/>
              <w:bidi w:val="0"/>
              <w:adjustRightInd w:val="0"/>
              <w:snapToGrid w:val="0"/>
              <w:spacing w:line="240" w:lineRule="auto"/>
              <w:ind w:left="22" w:leftChars="10" w:right="22" w:rightChars="10"/>
              <w:jc w:val="both"/>
              <w:textAlignment w:val="auto"/>
              <w:rPr>
                <w:rFonts w:hint="default" w:ascii="楷体" w:hAnsi="楷体" w:eastAsia="楷体" w:cs="宋体"/>
                <w:spacing w:val="-2"/>
                <w:sz w:val="18"/>
                <w:szCs w:val="18"/>
                <w:highlight w:val="none"/>
                <w:lang w:val="en-US" w:eastAsia="zh-CN"/>
              </w:rPr>
            </w:pPr>
            <w:r>
              <w:rPr>
                <w:rFonts w:hint="default" w:ascii="楷体" w:hAnsi="楷体" w:eastAsia="楷体" w:cs="宋体"/>
                <w:spacing w:val="-2"/>
                <w:sz w:val="18"/>
                <w:szCs w:val="18"/>
                <w:highlight w:val="none"/>
                <w:lang w:val="en-US" w:eastAsia="zh-CN"/>
              </w:rPr>
              <w:t>JS份额：苏银理财恒源最短持有90天JS鑫福款/J03395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15"/>
              <w:keepNext w:val="0"/>
              <w:keepLines w:val="0"/>
              <w:pageBreakBefore w:val="0"/>
              <w:widowControl w:val="0"/>
              <w:kinsoku w:val="0"/>
              <w:wordWrap/>
              <w:overflowPunct w:val="0"/>
              <w:topLinePunct w:val="0"/>
              <w:autoSpaceDE/>
              <w:autoSpaceDN/>
              <w:bidi w:val="0"/>
              <w:adjustRightInd w:val="0"/>
              <w:snapToGrid w:val="0"/>
              <w:ind w:left="22" w:leftChars="10" w:right="22"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产品类型</w:t>
            </w:r>
          </w:p>
        </w:tc>
        <w:tc>
          <w:tcPr>
            <w:tcW w:w="7937" w:type="dxa"/>
            <w:noWrap w:val="0"/>
            <w:vAlign w:val="center"/>
          </w:tcPr>
          <w:p>
            <w:pPr>
              <w:pStyle w:val="15"/>
              <w:keepNext w:val="0"/>
              <w:keepLines w:val="0"/>
              <w:pageBreakBefore w:val="0"/>
              <w:widowControl w:val="0"/>
              <w:kinsoku w:val="0"/>
              <w:wordWrap/>
              <w:overflowPunct w:val="0"/>
              <w:topLinePunct w:val="0"/>
              <w:autoSpaceDE/>
              <w:autoSpaceDN/>
              <w:bidi w:val="0"/>
              <w:adjustRightInd w:val="0"/>
              <w:snapToGrid w:val="0"/>
              <w:spacing w:line="240" w:lineRule="auto"/>
              <w:ind w:left="22" w:leftChars="10" w:right="22"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b/>
                <w:spacing w:val="-2"/>
                <w:sz w:val="18"/>
                <w:szCs w:val="18"/>
                <w:highlight w:val="none"/>
                <w:u w:val="single"/>
              </w:rPr>
              <w:t>固定收益类、公募、开放式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15"/>
              <w:keepNext w:val="0"/>
              <w:keepLines w:val="0"/>
              <w:pageBreakBefore w:val="0"/>
              <w:widowControl w:val="0"/>
              <w:kinsoku w:val="0"/>
              <w:wordWrap/>
              <w:overflowPunct w:val="0"/>
              <w:topLinePunct w:val="0"/>
              <w:autoSpaceDE/>
              <w:autoSpaceDN/>
              <w:bidi w:val="0"/>
              <w:adjustRightInd w:val="0"/>
              <w:snapToGrid w:val="0"/>
              <w:ind w:left="22" w:leftChars="10" w:right="22"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产品内部风险评级</w:t>
            </w:r>
          </w:p>
        </w:tc>
        <w:tc>
          <w:tcPr>
            <w:tcW w:w="7937"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left="22" w:leftChars="10" w:right="22" w:rightChars="10" w:firstLine="0" w:firstLineChars="0"/>
              <w:jc w:val="both"/>
              <w:textAlignment w:val="auto"/>
              <w:rPr>
                <w:rFonts w:hint="eastAsia" w:ascii="楷体" w:hAnsi="楷体" w:eastAsia="楷体"/>
                <w:color w:val="auto"/>
                <w:sz w:val="18"/>
                <w:szCs w:val="18"/>
                <w:highlight w:val="none"/>
              </w:rPr>
            </w:pPr>
            <w:r>
              <w:rPr>
                <w:rFonts w:hint="eastAsia" w:ascii="楷体" w:hAnsi="楷体" w:eastAsia="楷体"/>
                <w:color w:val="auto"/>
                <w:sz w:val="18"/>
                <w:szCs w:val="18"/>
                <w:highlight w:val="none"/>
                <w:lang w:val="en-US" w:eastAsia="zh-CN"/>
              </w:rPr>
              <w:t>1.</w:t>
            </w:r>
            <w:r>
              <w:rPr>
                <w:rFonts w:hint="eastAsia" w:ascii="楷体" w:hAnsi="楷体" w:eastAsia="楷体"/>
                <w:color w:val="auto"/>
                <w:sz w:val="18"/>
                <w:szCs w:val="18"/>
                <w:highlight w:val="none"/>
              </w:rPr>
              <w:t>本理财产品经苏银理财内部风险评级为</w:t>
            </w:r>
            <w:r>
              <w:rPr>
                <w:rFonts w:hint="eastAsia" w:ascii="楷体" w:hAnsi="楷体" w:eastAsia="楷体"/>
                <w:b/>
                <w:color w:val="auto"/>
                <w:sz w:val="18"/>
                <w:szCs w:val="18"/>
                <w:highlight w:val="none"/>
                <w:u w:val="single"/>
              </w:rPr>
              <w:t>★★二级，适合中低风险型投资者，适合投资策略为稳健发展</w:t>
            </w:r>
            <w:r>
              <w:rPr>
                <w:rFonts w:hint="eastAsia" w:ascii="楷体" w:hAnsi="楷体" w:eastAsia="楷体"/>
                <w:b/>
                <w:color w:val="auto"/>
                <w:sz w:val="18"/>
                <w:szCs w:val="18"/>
                <w:highlight w:val="none"/>
                <w:u w:val="single"/>
                <w:lang w:val="en-US" w:eastAsia="zh-CN"/>
              </w:rPr>
              <w:t>的投资者</w:t>
            </w:r>
            <w:r>
              <w:rPr>
                <w:rFonts w:hint="eastAsia" w:ascii="楷体" w:hAnsi="楷体" w:eastAsia="楷体"/>
                <w:color w:val="auto"/>
                <w:sz w:val="18"/>
                <w:szCs w:val="18"/>
                <w:highlight w:val="none"/>
              </w:rPr>
              <w:t>。本评级为</w:t>
            </w:r>
            <w:r>
              <w:rPr>
                <w:rFonts w:hint="eastAsia" w:ascii="楷体" w:hAnsi="楷体" w:eastAsia="楷体"/>
                <w:color w:val="auto"/>
                <w:sz w:val="18"/>
                <w:szCs w:val="18"/>
                <w:highlight w:val="none"/>
                <w:lang w:val="en-US" w:eastAsia="zh-CN"/>
              </w:rPr>
              <w:t>管理人</w:t>
            </w:r>
            <w:r>
              <w:rPr>
                <w:rFonts w:hint="eastAsia" w:ascii="楷体" w:hAnsi="楷体" w:eastAsia="楷体"/>
                <w:color w:val="auto"/>
                <w:sz w:val="18"/>
                <w:szCs w:val="18"/>
                <w:highlight w:val="none"/>
              </w:rPr>
              <w:t>内部评级，由</w:t>
            </w:r>
            <w:r>
              <w:rPr>
                <w:rFonts w:hint="eastAsia" w:ascii="楷体" w:hAnsi="楷体" w:eastAsia="楷体"/>
                <w:color w:val="auto"/>
                <w:sz w:val="18"/>
                <w:szCs w:val="18"/>
                <w:highlight w:val="none"/>
                <w:lang w:val="en-US" w:eastAsia="zh-CN"/>
              </w:rPr>
              <w:t>管理人</w:t>
            </w:r>
            <w:r>
              <w:rPr>
                <w:rFonts w:hint="eastAsia" w:ascii="楷体" w:hAnsi="楷体" w:eastAsia="楷体"/>
                <w:color w:val="auto"/>
                <w:sz w:val="18"/>
                <w:szCs w:val="18"/>
                <w:highlight w:val="none"/>
              </w:rPr>
              <w:t>根据理财产品的投资组合、同类产品过往业绩和风险状况等因素，对理财产品进行评级，仅供</w:t>
            </w:r>
            <w:r>
              <w:rPr>
                <w:rFonts w:hint="eastAsia" w:ascii="楷体" w:hAnsi="楷体" w:eastAsia="楷体"/>
                <w:color w:val="auto"/>
                <w:sz w:val="18"/>
                <w:szCs w:val="18"/>
                <w:highlight w:val="none"/>
                <w:lang w:val="en-US" w:eastAsia="zh-CN"/>
              </w:rPr>
              <w:t>投资者</w:t>
            </w:r>
            <w:r>
              <w:rPr>
                <w:rFonts w:hint="eastAsia" w:ascii="楷体" w:hAnsi="楷体" w:eastAsia="楷体"/>
                <w:color w:val="auto"/>
                <w:sz w:val="18"/>
                <w:szCs w:val="18"/>
                <w:highlight w:val="none"/>
              </w:rPr>
              <w:t>参考。</w:t>
            </w:r>
          </w:p>
          <w:tbl>
            <w:tblPr>
              <w:tblStyle w:val="7"/>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6"/>
              <w:gridCol w:w="1488"/>
              <w:gridCol w:w="2030"/>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风险星级</w:t>
                  </w:r>
                </w:p>
              </w:tc>
              <w:tc>
                <w:tcPr>
                  <w:tcW w:w="1095"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风险级别</w:t>
                  </w:r>
                </w:p>
              </w:tc>
              <w:tc>
                <w:tcPr>
                  <w:tcW w:w="1493"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适合的投资者类别</w:t>
                  </w:r>
                </w:p>
              </w:tc>
              <w:tc>
                <w:tcPr>
                  <w:tcW w:w="1229"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noWrap w:val="0"/>
                  <w:vAlign w:val="bottom"/>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一级（PR1）</w:t>
                  </w:r>
                </w:p>
              </w:tc>
              <w:tc>
                <w:tcPr>
                  <w:tcW w:w="1493" w:type="pct"/>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低风险型</w:t>
                  </w:r>
                </w:p>
              </w:tc>
              <w:tc>
                <w:tcPr>
                  <w:tcW w:w="1229" w:type="pct"/>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w:t>
                  </w:r>
                </w:p>
              </w:tc>
              <w:tc>
                <w:tcPr>
                  <w:tcW w:w="1095"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二级（PR2）</w:t>
                  </w:r>
                </w:p>
              </w:tc>
              <w:tc>
                <w:tcPr>
                  <w:tcW w:w="1493"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中低风险型</w:t>
                  </w:r>
                </w:p>
              </w:tc>
              <w:tc>
                <w:tcPr>
                  <w:tcW w:w="1229"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三级（PR3）</w:t>
                  </w:r>
                </w:p>
              </w:tc>
              <w:tc>
                <w:tcPr>
                  <w:tcW w:w="1493"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中风险型</w:t>
                  </w:r>
                </w:p>
              </w:tc>
              <w:tc>
                <w:tcPr>
                  <w:tcW w:w="1229"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四级（PR4）</w:t>
                  </w:r>
                </w:p>
              </w:tc>
              <w:tc>
                <w:tcPr>
                  <w:tcW w:w="1493"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中高风险型</w:t>
                  </w:r>
                </w:p>
              </w:tc>
              <w:tc>
                <w:tcPr>
                  <w:tcW w:w="1229"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五级（PR5）</w:t>
                  </w:r>
                </w:p>
              </w:tc>
              <w:tc>
                <w:tcPr>
                  <w:tcW w:w="1493"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高风险型</w:t>
                  </w:r>
                </w:p>
              </w:tc>
              <w:tc>
                <w:tcPr>
                  <w:tcW w:w="1229"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风险承受</w:t>
                  </w:r>
                </w:p>
              </w:tc>
            </w:tr>
          </w:tbl>
          <w:p>
            <w:pPr>
              <w:keepNext w:val="0"/>
              <w:keepLines w:val="0"/>
              <w:pageBreakBefore w:val="0"/>
              <w:widowControl w:val="0"/>
              <w:numPr>
                <w:ilvl w:val="0"/>
                <w:numId w:val="0"/>
              </w:numPr>
              <w:wordWrap/>
              <w:topLinePunct w:val="0"/>
              <w:autoSpaceDE/>
              <w:autoSpaceDN/>
              <w:bidi w:val="0"/>
              <w:snapToGrid w:val="0"/>
              <w:spacing w:line="240" w:lineRule="auto"/>
              <w:ind w:left="22" w:leftChars="10" w:right="22" w:rightChars="10" w:firstLine="0" w:firstLineChars="0"/>
              <w:jc w:val="both"/>
              <w:textAlignment w:val="auto"/>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pStyle w:val="15"/>
              <w:keepNext w:val="0"/>
              <w:keepLines w:val="0"/>
              <w:pageBreakBefore w:val="0"/>
              <w:widowControl w:val="0"/>
              <w:kinsoku w:val="0"/>
              <w:wordWrap/>
              <w:overflowPunct w:val="0"/>
              <w:topLinePunct w:val="0"/>
              <w:autoSpaceDE/>
              <w:autoSpaceDN/>
              <w:bidi w:val="0"/>
              <w:snapToGrid w:val="0"/>
              <w:spacing w:line="240" w:lineRule="auto"/>
              <w:ind w:left="22" w:leftChars="10" w:right="22" w:rightChars="10"/>
              <w:jc w:val="both"/>
              <w:textAlignment w:val="auto"/>
              <w:rPr>
                <w:rFonts w:hint="eastAsia" w:ascii="楷体" w:hAnsi="楷体" w:eastAsia="楷体"/>
                <w:color w:val="auto"/>
                <w:sz w:val="18"/>
                <w:szCs w:val="18"/>
                <w:highlight w:val="none"/>
              </w:rPr>
            </w:pPr>
            <w:r>
              <w:rPr>
                <w:rFonts w:hint="eastAsia" w:ascii="楷体" w:hAnsi="楷体" w:eastAsia="楷体"/>
                <w:color w:val="auto"/>
                <w:sz w:val="18"/>
                <w:szCs w:val="18"/>
                <w:highlight w:val="none"/>
                <w:lang w:val="en-US" w:eastAsia="zh-CN"/>
              </w:rPr>
              <w:t>3.</w:t>
            </w:r>
            <w:r>
              <w:rPr>
                <w:rFonts w:hint="eastAsia" w:ascii="楷体" w:hAnsi="楷体" w:eastAsia="楷体"/>
                <w:color w:val="auto"/>
                <w:sz w:val="18"/>
                <w:szCs w:val="18"/>
                <w:highlight w:val="none"/>
              </w:rPr>
              <w:t>销售机构负责完成投资者风险承受能力评估，并在遵循投资者适当性原则的前提下进行本理财产品的销售活动。</w:t>
            </w:r>
          </w:p>
          <w:p>
            <w:pPr>
              <w:rPr>
                <w:rFonts w:hint="eastAsia" w:ascii="楷体" w:hAnsi="楷体" w:eastAsia="楷体"/>
                <w:color w:val="auto"/>
                <w:sz w:val="18"/>
                <w:szCs w:val="18"/>
                <w:highlight w:val="none"/>
              </w:rPr>
            </w:pPr>
            <w:r>
              <w:rPr>
                <w:rFonts w:hint="eastAsia" w:ascii="仿宋" w:hAnsi="仿宋" w:eastAsia="仿宋"/>
                <w:b/>
                <w:color w:val="FF0000"/>
                <w:lang w:val="en-US" w:eastAsia="zh-CN"/>
              </w:rPr>
              <w:t>4、</w:t>
            </w:r>
            <w:r>
              <w:rPr>
                <w:rFonts w:hint="eastAsia" w:ascii="仿宋" w:hAnsi="仿宋" w:eastAsia="仿宋"/>
                <w:b/>
                <w:color w:val="FF0000"/>
              </w:rPr>
              <w:t>紫金农商银行对本产品的风险评级为中低风险。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15"/>
              <w:keepNext w:val="0"/>
              <w:keepLines w:val="0"/>
              <w:pageBreakBefore w:val="0"/>
              <w:widowControl w:val="0"/>
              <w:kinsoku w:val="0"/>
              <w:wordWrap/>
              <w:overflowPunct w:val="0"/>
              <w:topLinePunct w:val="0"/>
              <w:autoSpaceDE/>
              <w:autoSpaceDN/>
              <w:bidi w:val="0"/>
              <w:adjustRightInd w:val="0"/>
              <w:snapToGrid w:val="0"/>
              <w:ind w:left="22" w:leftChars="10" w:right="22"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销售对象</w:t>
            </w:r>
          </w:p>
        </w:tc>
        <w:tc>
          <w:tcPr>
            <w:tcW w:w="7937" w:type="dxa"/>
            <w:noWrap w:val="0"/>
            <w:vAlign w:val="center"/>
          </w:tcPr>
          <w:p>
            <w:pPr>
              <w:pStyle w:val="15"/>
              <w:keepNext w:val="0"/>
              <w:keepLines w:val="0"/>
              <w:pageBreakBefore w:val="0"/>
              <w:widowControl w:val="0"/>
              <w:kinsoku w:val="0"/>
              <w:wordWrap/>
              <w:overflowPunct w:val="0"/>
              <w:topLinePunct w:val="0"/>
              <w:autoSpaceDE/>
              <w:autoSpaceDN/>
              <w:bidi w:val="0"/>
              <w:snapToGrid w:val="0"/>
              <w:spacing w:line="240" w:lineRule="auto"/>
              <w:ind w:left="22" w:leftChars="10" w:right="22"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JS份额：个人和机构；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15"/>
              <w:keepNext w:val="0"/>
              <w:keepLines w:val="0"/>
              <w:pageBreakBefore w:val="0"/>
              <w:widowControl w:val="0"/>
              <w:kinsoku w:val="0"/>
              <w:wordWrap/>
              <w:overflowPunct w:val="0"/>
              <w:topLinePunct w:val="0"/>
              <w:autoSpaceDE/>
              <w:autoSpaceDN/>
              <w:bidi w:val="0"/>
              <w:adjustRightInd w:val="0"/>
              <w:snapToGrid w:val="0"/>
              <w:ind w:left="22" w:leftChars="10" w:right="22"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币种</w:t>
            </w:r>
          </w:p>
        </w:tc>
        <w:tc>
          <w:tcPr>
            <w:tcW w:w="7937" w:type="dxa"/>
            <w:noWrap w:val="0"/>
            <w:vAlign w:val="center"/>
          </w:tcPr>
          <w:p>
            <w:pPr>
              <w:pStyle w:val="15"/>
              <w:keepNext w:val="0"/>
              <w:keepLines w:val="0"/>
              <w:pageBreakBefore w:val="0"/>
              <w:widowControl w:val="0"/>
              <w:kinsoku w:val="0"/>
              <w:wordWrap/>
              <w:overflowPunct w:val="0"/>
              <w:topLinePunct w:val="0"/>
              <w:autoSpaceDE/>
              <w:autoSpaceDN/>
              <w:bidi w:val="0"/>
              <w:snapToGrid w:val="0"/>
              <w:spacing w:line="240" w:lineRule="auto"/>
              <w:ind w:left="22" w:leftChars="10" w:right="22"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15"/>
              <w:keepNext w:val="0"/>
              <w:keepLines w:val="0"/>
              <w:pageBreakBefore w:val="0"/>
              <w:widowControl w:val="0"/>
              <w:kinsoku w:val="0"/>
              <w:wordWrap/>
              <w:overflowPunct w:val="0"/>
              <w:topLinePunct w:val="0"/>
              <w:autoSpaceDE/>
              <w:autoSpaceDN/>
              <w:bidi w:val="0"/>
              <w:adjustRightInd w:val="0"/>
              <w:snapToGrid w:val="0"/>
              <w:ind w:left="22" w:leftChars="10" w:right="22" w:rightChars="10"/>
              <w:jc w:val="both"/>
              <w:textAlignment w:val="auto"/>
              <w:rPr>
                <w:rFonts w:hint="eastAsia" w:ascii="楷体" w:hAnsi="楷体" w:eastAsia="楷体" w:cs="宋体"/>
                <w:b/>
                <w:spacing w:val="-2"/>
                <w:kern w:val="0"/>
                <w:sz w:val="18"/>
                <w:szCs w:val="18"/>
                <w:highlight w:val="none"/>
                <w:lang w:val="en-US" w:eastAsia="zh-CN" w:bidi="ar-SA"/>
              </w:rPr>
            </w:pPr>
            <w:r>
              <w:rPr>
                <w:rFonts w:hint="eastAsia" w:ascii="楷体" w:hAnsi="楷体" w:eastAsia="楷体" w:cs="宋体"/>
                <w:b/>
                <w:spacing w:val="-2"/>
                <w:sz w:val="18"/>
                <w:szCs w:val="18"/>
                <w:highlight w:val="none"/>
              </w:rPr>
              <w:t>份额面值</w:t>
            </w:r>
          </w:p>
        </w:tc>
        <w:tc>
          <w:tcPr>
            <w:tcW w:w="7937" w:type="dxa"/>
            <w:noWrap w:val="0"/>
            <w:vAlign w:val="center"/>
          </w:tcPr>
          <w:p>
            <w:pPr>
              <w:pStyle w:val="15"/>
              <w:keepNext w:val="0"/>
              <w:keepLines w:val="0"/>
              <w:pageBreakBefore w:val="0"/>
              <w:widowControl w:val="0"/>
              <w:kinsoku w:val="0"/>
              <w:wordWrap/>
              <w:overflowPunct w:val="0"/>
              <w:topLinePunct w:val="0"/>
              <w:autoSpaceDE/>
              <w:autoSpaceDN/>
              <w:bidi w:val="0"/>
              <w:snapToGrid w:val="0"/>
              <w:spacing w:line="240" w:lineRule="auto"/>
              <w:ind w:left="22" w:leftChars="10" w:right="22" w:rightChars="10"/>
              <w:jc w:val="both"/>
              <w:textAlignment w:val="auto"/>
              <w:rPr>
                <w:rFonts w:hint="eastAsia" w:ascii="楷体" w:hAnsi="楷体" w:eastAsia="楷体" w:cs="宋体"/>
                <w:spacing w:val="-2"/>
                <w:kern w:val="0"/>
                <w:sz w:val="18"/>
                <w:szCs w:val="18"/>
                <w:highlight w:val="none"/>
                <w:lang w:val="en-US" w:eastAsia="zh-CN" w:bidi="ar-SA"/>
              </w:rPr>
            </w:pPr>
            <w:r>
              <w:rPr>
                <w:rFonts w:hint="eastAsia" w:ascii="楷体" w:hAnsi="楷体" w:eastAsia="楷体" w:cs="宋体"/>
                <w:spacing w:val="-2"/>
                <w:sz w:val="18"/>
                <w:szCs w:val="18"/>
                <w:highlight w:val="none"/>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15"/>
              <w:keepNext w:val="0"/>
              <w:keepLines w:val="0"/>
              <w:pageBreakBefore w:val="0"/>
              <w:widowControl w:val="0"/>
              <w:kinsoku w:val="0"/>
              <w:wordWrap/>
              <w:overflowPunct w:val="0"/>
              <w:topLinePunct w:val="0"/>
              <w:autoSpaceDE/>
              <w:autoSpaceDN/>
              <w:bidi w:val="0"/>
              <w:adjustRightInd w:val="0"/>
              <w:snapToGrid w:val="0"/>
              <w:ind w:left="22" w:leftChars="10" w:right="22"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计划发行规模</w:t>
            </w:r>
          </w:p>
        </w:tc>
        <w:tc>
          <w:tcPr>
            <w:tcW w:w="7937" w:type="dxa"/>
            <w:noWrap w:val="0"/>
            <w:vAlign w:val="center"/>
          </w:tcPr>
          <w:p>
            <w:pPr>
              <w:pStyle w:val="15"/>
              <w:keepNext w:val="0"/>
              <w:keepLines w:val="0"/>
              <w:pageBreakBefore w:val="0"/>
              <w:widowControl w:val="0"/>
              <w:kinsoku w:val="0"/>
              <w:wordWrap/>
              <w:overflowPunct w:val="0"/>
              <w:topLinePunct w:val="0"/>
              <w:autoSpaceDE/>
              <w:autoSpaceDN/>
              <w:bidi w:val="0"/>
              <w:snapToGrid w:val="0"/>
              <w:spacing w:line="240" w:lineRule="auto"/>
              <w:ind w:left="22" w:leftChars="10" w:right="22"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本产品计划发行规模为20000万元，管理人有权根据实际需要调整计划发行规模。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15"/>
              <w:keepNext w:val="0"/>
              <w:keepLines w:val="0"/>
              <w:pageBreakBefore w:val="0"/>
              <w:widowControl w:val="0"/>
              <w:kinsoku w:val="0"/>
              <w:wordWrap/>
              <w:overflowPunct w:val="0"/>
              <w:topLinePunct w:val="0"/>
              <w:autoSpaceDE/>
              <w:autoSpaceDN/>
              <w:bidi w:val="0"/>
              <w:adjustRightInd w:val="0"/>
              <w:snapToGrid w:val="0"/>
              <w:ind w:left="22" w:leftChars="10" w:right="22"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最低发行规模</w:t>
            </w:r>
          </w:p>
        </w:tc>
        <w:tc>
          <w:tcPr>
            <w:tcW w:w="7937" w:type="dxa"/>
            <w:noWrap w:val="0"/>
            <w:vAlign w:val="center"/>
          </w:tcPr>
          <w:p>
            <w:pPr>
              <w:keepNext w:val="0"/>
              <w:keepLines w:val="0"/>
              <w:pageBreakBefore w:val="0"/>
              <w:widowControl w:val="0"/>
              <w:wordWrap/>
              <w:topLinePunct w:val="0"/>
              <w:autoSpaceDE/>
              <w:autoSpaceDN/>
              <w:bidi w:val="0"/>
              <w:snapToGrid w:val="0"/>
              <w:spacing w:line="240" w:lineRule="auto"/>
              <w:ind w:left="22" w:leftChars="10" w:right="22"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rPr>
              <w:t>本产品最低发行规模为</w:t>
            </w:r>
            <w:r>
              <w:rPr>
                <w:rFonts w:hint="eastAsia" w:ascii="楷体" w:hAnsi="楷体" w:eastAsia="楷体" w:cs="宋体"/>
                <w:spacing w:val="-2"/>
                <w:kern w:val="0"/>
                <w:sz w:val="18"/>
                <w:szCs w:val="18"/>
                <w:highlight w:val="none"/>
                <w:lang w:val="en-US" w:eastAsia="zh-CN" w:bidi="ar-SA"/>
              </w:rPr>
              <w:t>3000万元</w:t>
            </w:r>
            <w:r>
              <w:rPr>
                <w:rFonts w:hint="eastAsia" w:ascii="楷体" w:hAnsi="楷体" w:eastAsia="楷体" w:cs="宋体"/>
                <w:spacing w:val="-2"/>
                <w:sz w:val="18"/>
                <w:szCs w:val="18"/>
                <w:highlight w:val="none"/>
              </w:rPr>
              <w:t>，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15"/>
              <w:keepNext w:val="0"/>
              <w:keepLines w:val="0"/>
              <w:pageBreakBefore w:val="0"/>
              <w:widowControl w:val="0"/>
              <w:kinsoku w:val="0"/>
              <w:wordWrap/>
              <w:overflowPunct w:val="0"/>
              <w:topLinePunct w:val="0"/>
              <w:autoSpaceDE/>
              <w:autoSpaceDN/>
              <w:bidi w:val="0"/>
              <w:adjustRightInd w:val="0"/>
              <w:snapToGrid w:val="0"/>
              <w:ind w:left="22" w:leftChars="10" w:right="22"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购买起点</w:t>
            </w:r>
            <w:r>
              <w:rPr>
                <w:rFonts w:ascii="楷体" w:hAnsi="楷体" w:eastAsia="楷体" w:cs="宋体"/>
                <w:b/>
                <w:spacing w:val="-2"/>
                <w:sz w:val="18"/>
                <w:szCs w:val="18"/>
                <w:highlight w:val="none"/>
              </w:rPr>
              <w:t>/</w:t>
            </w:r>
            <w:r>
              <w:rPr>
                <w:rFonts w:hint="eastAsia" w:ascii="楷体" w:hAnsi="楷体" w:eastAsia="楷体" w:cs="宋体"/>
                <w:b/>
                <w:spacing w:val="-2"/>
                <w:sz w:val="18"/>
                <w:szCs w:val="18"/>
                <w:highlight w:val="none"/>
              </w:rPr>
              <w:t>追加金额</w:t>
            </w:r>
          </w:p>
        </w:tc>
        <w:tc>
          <w:tcPr>
            <w:tcW w:w="7937" w:type="dxa"/>
            <w:noWrap w:val="0"/>
            <w:vAlign w:val="center"/>
          </w:tcPr>
          <w:p>
            <w:pPr>
              <w:keepNext w:val="0"/>
              <w:keepLines w:val="0"/>
              <w:pageBreakBefore w:val="0"/>
              <w:widowControl w:val="0"/>
              <w:wordWrap/>
              <w:topLinePunct w:val="0"/>
              <w:autoSpaceDE/>
              <w:autoSpaceDN/>
              <w:bidi w:val="0"/>
              <w:snapToGrid w:val="0"/>
              <w:spacing w:line="240" w:lineRule="auto"/>
              <w:ind w:left="22" w:leftChars="10" w:right="22" w:rightChars="10"/>
              <w:jc w:val="both"/>
              <w:textAlignment w:val="auto"/>
              <w:rPr>
                <w:rFonts w:hint="eastAsia" w:ascii="楷体" w:hAnsi="楷体" w:eastAsia="楷体"/>
                <w:sz w:val="18"/>
                <w:szCs w:val="18"/>
                <w:highlight w:val="none"/>
              </w:rPr>
            </w:pPr>
            <w:r>
              <w:rPr>
                <w:rFonts w:hint="eastAsia" w:ascii="楷体" w:hAnsi="楷体" w:eastAsia="楷体"/>
                <w:sz w:val="18"/>
                <w:szCs w:val="18"/>
                <w:highlight w:val="none"/>
              </w:rPr>
              <w:t>JS份额</w:t>
            </w:r>
            <w:r>
              <w:rPr>
                <w:rFonts w:hint="eastAsia" w:ascii="楷体" w:hAnsi="楷体" w:eastAsia="楷体"/>
                <w:sz w:val="18"/>
                <w:szCs w:val="18"/>
                <w:highlight w:val="none"/>
                <w:lang w:eastAsia="zh-CN"/>
              </w:rPr>
              <w:t>：</w:t>
            </w:r>
            <w:r>
              <w:rPr>
                <w:rFonts w:hint="eastAsia" w:ascii="楷体" w:hAnsi="楷体" w:eastAsia="楷体"/>
                <w:sz w:val="18"/>
                <w:szCs w:val="18"/>
                <w:highlight w:val="none"/>
              </w:rPr>
              <w:t>1元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1元的整数倍；</w:t>
            </w:r>
          </w:p>
          <w:p>
            <w:pPr>
              <w:keepNext w:val="0"/>
              <w:keepLines w:val="0"/>
              <w:pageBreakBefore w:val="0"/>
              <w:widowControl w:val="0"/>
              <w:wordWrap/>
              <w:topLinePunct w:val="0"/>
              <w:autoSpaceDE/>
              <w:autoSpaceDN/>
              <w:bidi w:val="0"/>
              <w:snapToGrid w:val="0"/>
              <w:spacing w:line="240" w:lineRule="auto"/>
              <w:ind w:left="22" w:leftChars="10" w:right="22" w:rightChars="10"/>
              <w:jc w:val="both"/>
              <w:textAlignment w:val="auto"/>
              <w:rPr>
                <w:rFonts w:hint="eastAsia" w:ascii="楷体" w:hAnsi="楷体" w:eastAsia="楷体"/>
                <w:sz w:val="18"/>
                <w:szCs w:val="18"/>
                <w:highlight w:val="none"/>
              </w:rPr>
            </w:pPr>
            <w:r>
              <w:rPr>
                <w:rFonts w:hint="eastAsia" w:ascii="楷体" w:hAnsi="楷体" w:eastAsia="楷体"/>
                <w:sz w:val="18"/>
                <w:szCs w:val="18"/>
                <w:highlight w:val="none"/>
              </w:rPr>
              <w:t>苏银理财有权对上述起点金额和</w:t>
            </w:r>
            <w:r>
              <w:rPr>
                <w:rFonts w:hint="eastAsia" w:ascii="楷体" w:hAnsi="楷体" w:eastAsia="楷体"/>
                <w:sz w:val="18"/>
                <w:szCs w:val="18"/>
                <w:highlight w:val="none"/>
                <w:lang w:val="en-US" w:eastAsia="zh-CN"/>
              </w:rPr>
              <w:t>追加</w:t>
            </w:r>
            <w:r>
              <w:rPr>
                <w:rFonts w:hint="eastAsia" w:ascii="楷体" w:hAnsi="楷体" w:eastAsia="楷体"/>
                <w:sz w:val="18"/>
                <w:szCs w:val="18"/>
                <w:highlight w:val="none"/>
              </w:rPr>
              <w:t>金额进行调整，并在调整前进行公告。</w:t>
            </w:r>
            <w:r>
              <w:rPr>
                <w:rFonts w:hint="eastAsia" w:ascii="楷体" w:hAnsi="楷体" w:eastAsia="楷体"/>
                <w:sz w:val="18"/>
                <w:szCs w:val="18"/>
                <w:highlight w:val="none"/>
                <w:lang w:eastAsia="zh-CN"/>
              </w:rPr>
              <w:t>（</w:t>
            </w:r>
            <w:r>
              <w:rPr>
                <w:rFonts w:hint="eastAsia" w:ascii="楷体" w:hAnsi="楷体" w:eastAsia="楷体"/>
                <w:sz w:val="18"/>
                <w:szCs w:val="18"/>
                <w:highlight w:val="none"/>
              </w:rPr>
              <w:t>具体以销售机构设置为准</w:t>
            </w:r>
            <w:r>
              <w:rPr>
                <w:rFonts w:hint="eastAsia" w:ascii="楷体" w:hAnsi="楷体" w:eastAsia="楷体"/>
                <w:sz w:val="18"/>
                <w:szCs w:val="18"/>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15"/>
              <w:keepNext w:val="0"/>
              <w:keepLines w:val="0"/>
              <w:pageBreakBefore w:val="0"/>
              <w:widowControl w:val="0"/>
              <w:kinsoku w:val="0"/>
              <w:wordWrap/>
              <w:overflowPunct w:val="0"/>
              <w:topLinePunct w:val="0"/>
              <w:autoSpaceDE/>
              <w:autoSpaceDN/>
              <w:bidi w:val="0"/>
              <w:adjustRightInd w:val="0"/>
              <w:snapToGrid w:val="0"/>
              <w:ind w:left="22" w:leftChars="10" w:right="22"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募集期</w:t>
            </w:r>
          </w:p>
        </w:tc>
        <w:tc>
          <w:tcPr>
            <w:tcW w:w="7937" w:type="dxa"/>
            <w:noWrap w:val="0"/>
            <w:vAlign w:val="center"/>
          </w:tcPr>
          <w:p>
            <w:pPr>
              <w:pStyle w:val="15"/>
              <w:keepNext w:val="0"/>
              <w:keepLines w:val="0"/>
              <w:pageBreakBefore w:val="0"/>
              <w:widowControl w:val="0"/>
              <w:kinsoku w:val="0"/>
              <w:wordWrap/>
              <w:overflowPunct w:val="0"/>
              <w:topLinePunct w:val="0"/>
              <w:autoSpaceDE/>
              <w:autoSpaceDN/>
              <w:bidi w:val="0"/>
              <w:snapToGrid w:val="0"/>
              <w:spacing w:line="240" w:lineRule="auto"/>
              <w:ind w:left="22" w:leftChars="10" w:right="22"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2022年6月10日</w:t>
            </w:r>
            <w:r>
              <w:rPr>
                <w:rFonts w:hint="eastAsia" w:ascii="楷体" w:hAnsi="楷体" w:eastAsia="楷体" w:cs="宋体"/>
                <w:spacing w:val="-2"/>
                <w:sz w:val="18"/>
                <w:szCs w:val="18"/>
                <w:highlight w:val="none"/>
                <w:lang w:val="en-US" w:eastAsia="zh-CN"/>
              </w:rPr>
              <w:t>至</w:t>
            </w:r>
            <w:r>
              <w:rPr>
                <w:rFonts w:hint="eastAsia" w:ascii="楷体" w:hAnsi="楷体" w:eastAsia="楷体" w:cs="宋体"/>
                <w:spacing w:val="-2"/>
                <w:sz w:val="18"/>
                <w:szCs w:val="18"/>
                <w:highlight w:val="none"/>
              </w:rPr>
              <w:t>2022年6月16日。</w:t>
            </w:r>
          </w:p>
          <w:p>
            <w:pPr>
              <w:pStyle w:val="15"/>
              <w:keepNext w:val="0"/>
              <w:keepLines w:val="0"/>
              <w:pageBreakBefore w:val="0"/>
              <w:widowControl w:val="0"/>
              <w:kinsoku w:val="0"/>
              <w:wordWrap/>
              <w:overflowPunct w:val="0"/>
              <w:topLinePunct w:val="0"/>
              <w:autoSpaceDE/>
              <w:autoSpaceDN/>
              <w:bidi w:val="0"/>
              <w:snapToGrid w:val="0"/>
              <w:spacing w:line="240" w:lineRule="auto"/>
              <w:ind w:left="22" w:leftChars="10" w:right="22"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15"/>
              <w:keepNext w:val="0"/>
              <w:keepLines w:val="0"/>
              <w:pageBreakBefore w:val="0"/>
              <w:widowControl w:val="0"/>
              <w:kinsoku w:val="0"/>
              <w:wordWrap/>
              <w:overflowPunct w:val="0"/>
              <w:topLinePunct w:val="0"/>
              <w:autoSpaceDE/>
              <w:autoSpaceDN/>
              <w:bidi w:val="0"/>
              <w:adjustRightInd w:val="0"/>
              <w:snapToGrid w:val="0"/>
              <w:ind w:left="22" w:leftChars="10" w:right="22"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产品成立日</w:t>
            </w:r>
          </w:p>
        </w:tc>
        <w:tc>
          <w:tcPr>
            <w:tcW w:w="7937" w:type="dxa"/>
            <w:noWrap w:val="0"/>
            <w:vAlign w:val="center"/>
          </w:tcPr>
          <w:p>
            <w:pPr>
              <w:pStyle w:val="15"/>
              <w:keepNext w:val="0"/>
              <w:keepLines w:val="0"/>
              <w:pageBreakBefore w:val="0"/>
              <w:widowControl w:val="0"/>
              <w:kinsoku w:val="0"/>
              <w:wordWrap/>
              <w:overflowPunct w:val="0"/>
              <w:topLinePunct w:val="0"/>
              <w:autoSpaceDE/>
              <w:autoSpaceDN/>
              <w:bidi w:val="0"/>
              <w:snapToGrid w:val="0"/>
              <w:spacing w:line="240" w:lineRule="auto"/>
              <w:ind w:left="22" w:leftChars="10" w:right="22"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2022年6月17日</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如管理人调整募集期，则产品成立日将相应调整，以管理人公告为准。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15"/>
              <w:keepNext w:val="0"/>
              <w:keepLines w:val="0"/>
              <w:pageBreakBefore w:val="0"/>
              <w:widowControl w:val="0"/>
              <w:kinsoku w:val="0"/>
              <w:wordWrap/>
              <w:overflowPunct w:val="0"/>
              <w:topLinePunct w:val="0"/>
              <w:autoSpaceDE/>
              <w:autoSpaceDN/>
              <w:bidi w:val="0"/>
              <w:adjustRightInd w:val="0"/>
              <w:snapToGrid w:val="0"/>
              <w:ind w:left="22" w:leftChars="10" w:right="22"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color w:val="auto"/>
                <w:spacing w:val="-2"/>
                <w:sz w:val="18"/>
                <w:szCs w:val="18"/>
                <w:highlight w:val="none"/>
              </w:rPr>
              <w:t>产品</w:t>
            </w:r>
            <w:r>
              <w:rPr>
                <w:rFonts w:hint="eastAsia" w:ascii="楷体" w:hAnsi="楷体" w:eastAsia="楷体" w:cs="宋体"/>
                <w:b/>
                <w:color w:val="auto"/>
                <w:spacing w:val="-2"/>
                <w:sz w:val="18"/>
                <w:szCs w:val="18"/>
                <w:highlight w:val="none"/>
                <w:lang w:val="en-US" w:eastAsia="zh-CN"/>
              </w:rPr>
              <w:t>终止日/</w:t>
            </w:r>
            <w:r>
              <w:rPr>
                <w:rFonts w:hint="eastAsia" w:ascii="楷体" w:hAnsi="楷体" w:eastAsia="楷体" w:cs="宋体"/>
                <w:b/>
                <w:color w:val="auto"/>
                <w:spacing w:val="-2"/>
                <w:sz w:val="18"/>
                <w:szCs w:val="18"/>
                <w:highlight w:val="none"/>
              </w:rPr>
              <w:t>到期日</w:t>
            </w:r>
          </w:p>
        </w:tc>
        <w:tc>
          <w:tcPr>
            <w:tcW w:w="7937" w:type="dxa"/>
            <w:noWrap w:val="0"/>
            <w:vAlign w:val="top"/>
          </w:tcPr>
          <w:p>
            <w:pPr>
              <w:pStyle w:val="15"/>
              <w:keepNext w:val="0"/>
              <w:keepLines w:val="0"/>
              <w:pageBreakBefore w:val="0"/>
              <w:widowControl w:val="0"/>
              <w:kinsoku w:val="0"/>
              <w:wordWrap/>
              <w:overflowPunct w:val="0"/>
              <w:topLinePunct w:val="0"/>
              <w:autoSpaceDE/>
              <w:autoSpaceDN/>
              <w:bidi w:val="0"/>
              <w:snapToGrid w:val="0"/>
              <w:spacing w:line="240" w:lineRule="auto"/>
              <w:ind w:left="22" w:leftChars="10" w:right="22"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2042年6月17日</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如遇节假日，顺延至下一工作日。在符合产品说明书约定的条件下，管理人有权调整产品到期日，产品到期日受制于提前终止、延期终止条款。详见</w:t>
            </w:r>
            <w:r>
              <w:rPr>
                <w:rFonts w:hint="eastAsia" w:ascii="楷体" w:hAnsi="楷体" w:eastAsia="楷体" w:cs="宋体"/>
                <w:spacing w:val="-2"/>
                <w:sz w:val="18"/>
                <w:szCs w:val="18"/>
                <w:highlight w:val="none"/>
                <w:lang w:eastAsia="zh-CN"/>
              </w:rPr>
              <w:t>产品说明书</w:t>
            </w:r>
            <w:r>
              <w:rPr>
                <w:rFonts w:hint="eastAsia" w:ascii="楷体" w:hAnsi="楷体" w:eastAsia="楷体" w:cs="宋体"/>
                <w:spacing w:val="-2"/>
                <w:sz w:val="18"/>
                <w:szCs w:val="18"/>
                <w:highlight w:val="none"/>
              </w:rPr>
              <w:t>“产品终止”。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15"/>
              <w:keepNext w:val="0"/>
              <w:keepLines w:val="0"/>
              <w:pageBreakBefore w:val="0"/>
              <w:widowControl w:val="0"/>
              <w:kinsoku w:val="0"/>
              <w:wordWrap/>
              <w:overflowPunct w:val="0"/>
              <w:topLinePunct w:val="0"/>
              <w:autoSpaceDE/>
              <w:autoSpaceDN/>
              <w:bidi w:val="0"/>
              <w:adjustRightInd w:val="0"/>
              <w:snapToGrid w:val="0"/>
              <w:ind w:left="22" w:leftChars="10" w:right="22" w:rightChars="10"/>
              <w:jc w:val="both"/>
              <w:textAlignment w:val="auto"/>
              <w:rPr>
                <w:rFonts w:hint="eastAsia" w:ascii="楷体" w:hAnsi="楷体" w:eastAsia="楷体" w:cs="宋体"/>
                <w:b/>
                <w:spacing w:val="-2"/>
                <w:kern w:val="0"/>
                <w:sz w:val="18"/>
                <w:szCs w:val="18"/>
                <w:highlight w:val="none"/>
                <w:lang w:val="en-US" w:eastAsia="zh-CN" w:bidi="ar-SA"/>
              </w:rPr>
            </w:pPr>
            <w:r>
              <w:rPr>
                <w:rFonts w:hint="eastAsia" w:ascii="楷体" w:hAnsi="楷体" w:eastAsia="楷体" w:cs="宋体"/>
                <w:b/>
                <w:spacing w:val="-2"/>
                <w:sz w:val="18"/>
                <w:szCs w:val="18"/>
                <w:highlight w:val="none"/>
                <w:lang w:val="en-US" w:eastAsia="zh-CN"/>
              </w:rPr>
              <w:t>封闭运作期</w:t>
            </w:r>
          </w:p>
        </w:tc>
        <w:tc>
          <w:tcPr>
            <w:tcW w:w="7937" w:type="dxa"/>
            <w:noWrap w:val="0"/>
            <w:vAlign w:val="center"/>
          </w:tcPr>
          <w:p>
            <w:pPr>
              <w:pStyle w:val="15"/>
              <w:keepNext w:val="0"/>
              <w:keepLines w:val="0"/>
              <w:pageBreakBefore w:val="0"/>
              <w:widowControl w:val="0"/>
              <w:kinsoku w:val="0"/>
              <w:wordWrap/>
              <w:overflowPunct w:val="0"/>
              <w:topLinePunct w:val="0"/>
              <w:autoSpaceDE/>
              <w:autoSpaceDN/>
              <w:bidi w:val="0"/>
              <w:snapToGrid w:val="0"/>
              <w:spacing w:line="240" w:lineRule="auto"/>
              <w:ind w:left="22" w:leftChars="10" w:right="22" w:rightChars="10"/>
              <w:jc w:val="both"/>
              <w:textAlignment w:val="auto"/>
              <w:rPr>
                <w:rFonts w:hint="eastAsia" w:ascii="楷体" w:hAnsi="楷体" w:eastAsia="楷体" w:cs="宋体"/>
                <w:spacing w:val="-2"/>
                <w:kern w:val="0"/>
                <w:sz w:val="18"/>
                <w:szCs w:val="18"/>
                <w:highlight w:val="none"/>
                <w:lang w:val="en-US" w:eastAsia="zh-CN" w:bidi="ar-SA"/>
              </w:rPr>
            </w:pPr>
            <w:r>
              <w:rPr>
                <w:rFonts w:hint="eastAsia" w:ascii="楷体" w:hAnsi="楷体" w:eastAsia="楷体" w:cs="宋体"/>
                <w:spacing w:val="-2"/>
                <w:sz w:val="18"/>
                <w:szCs w:val="18"/>
                <w:highlight w:val="none"/>
              </w:rPr>
              <w:t>2022年6月17日-2022年6月23日，封闭运作期内不可申购/赎回。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15"/>
              <w:keepNext w:val="0"/>
              <w:keepLines w:val="0"/>
              <w:pageBreakBefore w:val="0"/>
              <w:widowControl w:val="0"/>
              <w:kinsoku w:val="0"/>
              <w:wordWrap/>
              <w:overflowPunct w:val="0"/>
              <w:topLinePunct w:val="0"/>
              <w:autoSpaceDE/>
              <w:autoSpaceDN/>
              <w:bidi w:val="0"/>
              <w:adjustRightInd w:val="0"/>
              <w:snapToGrid w:val="0"/>
              <w:ind w:left="22" w:leftChars="10" w:right="22"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份额最低持有期</w:t>
            </w:r>
          </w:p>
        </w:tc>
        <w:tc>
          <w:tcPr>
            <w:tcW w:w="7937" w:type="dxa"/>
            <w:noWrap w:val="0"/>
            <w:vAlign w:val="center"/>
          </w:tcPr>
          <w:p>
            <w:pPr>
              <w:pStyle w:val="15"/>
              <w:keepNext w:val="0"/>
              <w:keepLines w:val="0"/>
              <w:pageBreakBefore w:val="0"/>
              <w:widowControl w:val="0"/>
              <w:kinsoku w:val="0"/>
              <w:wordWrap/>
              <w:overflowPunct w:val="0"/>
              <w:topLinePunct w:val="0"/>
              <w:autoSpaceDE/>
              <w:autoSpaceDN/>
              <w:bidi w:val="0"/>
              <w:snapToGrid w:val="0"/>
              <w:spacing w:line="240" w:lineRule="auto"/>
              <w:ind w:left="22" w:leftChars="10" w:right="22" w:rightChars="10"/>
              <w:jc w:val="both"/>
              <w:textAlignment w:val="auto"/>
              <w:rPr>
                <w:rFonts w:hint="default" w:ascii="楷体" w:hAnsi="楷体" w:eastAsia="楷体" w:cs="宋体"/>
                <w:b/>
                <w:spacing w:val="-2"/>
                <w:sz w:val="18"/>
                <w:szCs w:val="18"/>
                <w:highlight w:val="none"/>
                <w:u w:val="single"/>
                <w:lang w:val="en-US" w:eastAsia="zh-CN"/>
              </w:rPr>
            </w:pPr>
            <w:r>
              <w:rPr>
                <w:rFonts w:ascii="楷体" w:hAnsi="楷体" w:eastAsia="楷体" w:cs="宋体"/>
                <w:b/>
                <w:spacing w:val="-2"/>
                <w:sz w:val="18"/>
                <w:szCs w:val="18"/>
                <w:highlight w:val="none"/>
                <w:u w:val="single"/>
              </w:rPr>
              <w:t>份额自确认日起最低持有</w:t>
            </w:r>
            <w:r>
              <w:rPr>
                <w:rFonts w:hint="eastAsia" w:ascii="楷体" w:hAnsi="楷体" w:eastAsia="楷体" w:cs="宋体"/>
                <w:b/>
                <w:spacing w:val="-2"/>
                <w:sz w:val="18"/>
                <w:szCs w:val="18"/>
                <w:highlight w:val="none"/>
                <w:u w:val="single"/>
                <w:lang w:val="en-US" w:eastAsia="zh-CN"/>
              </w:rPr>
              <w:t>期为90</w:t>
            </w:r>
            <w:r>
              <w:rPr>
                <w:rFonts w:hint="eastAsia" w:ascii="楷体" w:hAnsi="楷体" w:eastAsia="楷体" w:cs="宋体"/>
                <w:b/>
                <w:spacing w:val="-2"/>
                <w:sz w:val="18"/>
                <w:szCs w:val="18"/>
                <w:highlight w:val="none"/>
                <w:u w:val="single"/>
              </w:rPr>
              <w:t>天</w:t>
            </w:r>
            <w:r>
              <w:rPr>
                <w:rFonts w:ascii="楷体" w:hAnsi="楷体" w:eastAsia="楷体" w:cs="宋体"/>
                <w:b/>
                <w:spacing w:val="-2"/>
                <w:sz w:val="18"/>
                <w:szCs w:val="18"/>
                <w:highlight w:val="none"/>
                <w:u w:val="single"/>
              </w:rPr>
              <w:t>，</w:t>
            </w:r>
            <w:r>
              <w:rPr>
                <w:rFonts w:hint="eastAsia" w:ascii="楷体" w:hAnsi="楷体" w:eastAsia="楷体" w:cs="宋体"/>
                <w:b/>
                <w:spacing w:val="-2"/>
                <w:sz w:val="18"/>
                <w:szCs w:val="18"/>
                <w:highlight w:val="none"/>
                <w:u w:val="single"/>
                <w:lang w:val="en-US" w:eastAsia="zh-CN"/>
              </w:rPr>
              <w:t>90</w:t>
            </w:r>
            <w:r>
              <w:rPr>
                <w:rFonts w:hint="eastAsia" w:ascii="楷体" w:hAnsi="楷体" w:eastAsia="楷体" w:cs="宋体"/>
                <w:b/>
                <w:spacing w:val="-2"/>
                <w:sz w:val="18"/>
                <w:szCs w:val="18"/>
                <w:highlight w:val="none"/>
                <w:u w:val="single"/>
              </w:rPr>
              <w:t>天</w:t>
            </w:r>
            <w:r>
              <w:rPr>
                <w:rFonts w:ascii="楷体" w:hAnsi="楷体" w:eastAsia="楷体" w:cs="宋体"/>
                <w:b/>
                <w:spacing w:val="-2"/>
                <w:sz w:val="18"/>
                <w:szCs w:val="18"/>
                <w:highlight w:val="none"/>
                <w:u w:val="single"/>
              </w:rPr>
              <w:t>以内不可提出赎回申请</w:t>
            </w:r>
            <w:r>
              <w:rPr>
                <w:rFonts w:hint="eastAsia" w:ascii="楷体" w:hAnsi="楷体" w:eastAsia="楷体" w:cs="宋体"/>
                <w:b/>
                <w:spacing w:val="-2"/>
                <w:sz w:val="18"/>
                <w:szCs w:val="18"/>
                <w:highlight w:val="none"/>
                <w:u w:val="single"/>
                <w:lang w:eastAsia="zh-CN"/>
              </w:rPr>
              <w:t>。（</w:t>
            </w:r>
            <w:r>
              <w:rPr>
                <w:rFonts w:hint="eastAsia" w:ascii="楷体" w:hAnsi="楷体" w:eastAsia="楷体" w:cs="宋体"/>
                <w:b/>
                <w:spacing w:val="-2"/>
                <w:sz w:val="18"/>
                <w:szCs w:val="18"/>
                <w:highlight w:val="none"/>
                <w:u w:val="single"/>
                <w:lang w:val="en-US" w:eastAsia="zh-CN"/>
              </w:rPr>
              <w:t>封闭运作期除外）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15"/>
              <w:keepNext w:val="0"/>
              <w:keepLines w:val="0"/>
              <w:pageBreakBefore w:val="0"/>
              <w:widowControl w:val="0"/>
              <w:kinsoku w:val="0"/>
              <w:wordWrap/>
              <w:overflowPunct w:val="0"/>
              <w:topLinePunct w:val="0"/>
              <w:autoSpaceDE/>
              <w:autoSpaceDN/>
              <w:bidi w:val="0"/>
              <w:adjustRightInd w:val="0"/>
              <w:snapToGrid w:val="0"/>
              <w:ind w:left="22" w:leftChars="10" w:right="22"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开放计划</w:t>
            </w:r>
          </w:p>
        </w:tc>
        <w:tc>
          <w:tcPr>
            <w:tcW w:w="7937" w:type="dxa"/>
            <w:noWrap w:val="0"/>
            <w:vAlign w:val="top"/>
          </w:tcPr>
          <w:p>
            <w:pPr>
              <w:pStyle w:val="15"/>
              <w:keepNext w:val="0"/>
              <w:keepLines w:val="0"/>
              <w:pageBreakBefore w:val="0"/>
              <w:widowControl w:val="0"/>
              <w:kinsoku w:val="0"/>
              <w:wordWrap/>
              <w:overflowPunct w:val="0"/>
              <w:topLinePunct w:val="0"/>
              <w:autoSpaceDE/>
              <w:autoSpaceDN/>
              <w:bidi w:val="0"/>
              <w:adjustRightInd w:val="0"/>
              <w:snapToGrid w:val="0"/>
              <w:spacing w:line="240" w:lineRule="auto"/>
              <w:ind w:left="22" w:leftChars="10" w:right="22"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b/>
                <w:bCs/>
                <w:spacing w:val="-2"/>
                <w:sz w:val="18"/>
                <w:szCs w:val="18"/>
                <w:highlight w:val="none"/>
                <w:u w:val="single"/>
              </w:rPr>
              <w:t>本产品封闭运作期结束后，自2022年6月2</w:t>
            </w:r>
            <w:r>
              <w:rPr>
                <w:rFonts w:hint="eastAsia" w:ascii="楷体" w:hAnsi="楷体" w:eastAsia="楷体" w:cs="宋体"/>
                <w:b/>
                <w:bCs/>
                <w:spacing w:val="-2"/>
                <w:sz w:val="18"/>
                <w:szCs w:val="18"/>
                <w:highlight w:val="none"/>
                <w:u w:val="single"/>
                <w:lang w:val="en-US" w:eastAsia="zh-CN"/>
              </w:rPr>
              <w:t>4</w:t>
            </w:r>
            <w:r>
              <w:rPr>
                <w:rFonts w:hint="eastAsia" w:ascii="楷体" w:hAnsi="楷体" w:eastAsia="楷体" w:cs="宋体"/>
                <w:b/>
                <w:bCs/>
                <w:spacing w:val="-2"/>
                <w:sz w:val="18"/>
                <w:szCs w:val="18"/>
                <w:highlight w:val="none"/>
                <w:u w:val="single"/>
              </w:rPr>
              <w:t>日起</w:t>
            </w:r>
            <w:r>
              <w:rPr>
                <w:rFonts w:hint="eastAsia" w:ascii="楷体" w:hAnsi="楷体" w:eastAsia="楷体" w:cs="宋体"/>
                <w:b/>
                <w:bCs/>
                <w:spacing w:val="-2"/>
                <w:sz w:val="18"/>
                <w:szCs w:val="18"/>
                <w:highlight w:val="none"/>
                <w:u w:val="single"/>
                <w:lang w:val="en-US" w:eastAsia="zh-CN"/>
              </w:rPr>
              <w:t>按开放日</w:t>
            </w:r>
            <w:r>
              <w:rPr>
                <w:rFonts w:hint="eastAsia" w:ascii="楷体" w:hAnsi="楷体" w:eastAsia="楷体" w:cs="宋体"/>
                <w:b/>
                <w:bCs/>
                <w:spacing w:val="-2"/>
                <w:sz w:val="18"/>
                <w:szCs w:val="18"/>
                <w:highlight w:val="none"/>
                <w:u w:val="single"/>
              </w:rPr>
              <w:t>接受</w:t>
            </w:r>
            <w:r>
              <w:rPr>
                <w:rFonts w:hint="eastAsia" w:ascii="楷体" w:hAnsi="楷体" w:eastAsia="楷体" w:cs="宋体"/>
                <w:b/>
                <w:bCs/>
                <w:spacing w:val="-2"/>
                <w:sz w:val="18"/>
                <w:szCs w:val="18"/>
                <w:highlight w:val="none"/>
                <w:u w:val="single"/>
                <w:lang w:val="en-US" w:eastAsia="zh-CN"/>
              </w:rPr>
              <w:t>投资者的</w:t>
            </w:r>
            <w:r>
              <w:rPr>
                <w:rFonts w:hint="eastAsia" w:ascii="楷体" w:hAnsi="楷体" w:eastAsia="楷体" w:cs="宋体"/>
                <w:b/>
                <w:bCs/>
                <w:spacing w:val="-2"/>
                <w:sz w:val="18"/>
                <w:szCs w:val="18"/>
                <w:highlight w:val="none"/>
                <w:u w:val="single"/>
              </w:rPr>
              <w:t>申购/赎回申请，每个交易日为产品开放日。</w:t>
            </w:r>
            <w:r>
              <w:rPr>
                <w:rFonts w:hint="eastAsia" w:ascii="楷体" w:hAnsi="楷体" w:eastAsia="楷体" w:cs="宋体"/>
                <w:spacing w:val="-2"/>
                <w:sz w:val="18"/>
                <w:szCs w:val="18"/>
                <w:highlight w:val="none"/>
              </w:rPr>
              <w:t>管理人有权根据资产运作情况、节假日安排</w:t>
            </w:r>
            <w:r>
              <w:rPr>
                <w:rFonts w:hint="eastAsia" w:ascii="楷体" w:hAnsi="楷体" w:eastAsia="楷体" w:cs="宋体"/>
                <w:spacing w:val="-2"/>
                <w:sz w:val="18"/>
                <w:szCs w:val="18"/>
                <w:highlight w:val="none"/>
                <w:lang w:val="en-US" w:eastAsia="zh-CN"/>
              </w:rPr>
              <w:t>等</w:t>
            </w:r>
            <w:r>
              <w:rPr>
                <w:rFonts w:hint="eastAsia" w:ascii="楷体" w:hAnsi="楷体" w:eastAsia="楷体" w:cs="宋体"/>
                <w:spacing w:val="-2"/>
                <w:sz w:val="18"/>
                <w:szCs w:val="18"/>
                <w:highlight w:val="none"/>
              </w:rPr>
              <w:t>调整开放日，并在调整前进行公告。</w:t>
            </w:r>
            <w:r>
              <w:rPr>
                <w:rFonts w:hint="eastAsia" w:ascii="楷体" w:hAnsi="楷体" w:eastAsia="楷体" w:cs="宋体"/>
                <w:b/>
                <w:bCs/>
                <w:spacing w:val="-2"/>
                <w:sz w:val="18"/>
                <w:szCs w:val="18"/>
                <w:highlight w:val="none"/>
                <w:u w:val="single"/>
              </w:rPr>
              <w:t>交易日指上海证券交易所和深圳证券交易所的正常开盘交易日。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15"/>
              <w:keepNext w:val="0"/>
              <w:keepLines w:val="0"/>
              <w:pageBreakBefore w:val="0"/>
              <w:widowControl w:val="0"/>
              <w:kinsoku w:val="0"/>
              <w:wordWrap/>
              <w:overflowPunct w:val="0"/>
              <w:topLinePunct w:val="0"/>
              <w:autoSpaceDE/>
              <w:autoSpaceDN/>
              <w:bidi w:val="0"/>
              <w:adjustRightInd w:val="0"/>
              <w:snapToGrid w:val="0"/>
              <w:ind w:left="22" w:leftChars="10" w:right="22"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w:t>
            </w:r>
            <w:r>
              <w:rPr>
                <w:rFonts w:hint="eastAsia" w:ascii="楷体" w:hAnsi="楷体" w:eastAsia="楷体" w:cs="宋体"/>
                <w:b/>
                <w:spacing w:val="-2"/>
                <w:sz w:val="18"/>
                <w:szCs w:val="18"/>
                <w:highlight w:val="none"/>
              </w:rPr>
              <w:t>单笔</w:t>
            </w:r>
            <w:r>
              <w:rPr>
                <w:rFonts w:hint="eastAsia" w:ascii="楷体" w:hAnsi="楷体" w:eastAsia="楷体" w:cs="宋体"/>
                <w:b/>
                <w:spacing w:val="-2"/>
                <w:sz w:val="18"/>
                <w:szCs w:val="18"/>
                <w:highlight w:val="none"/>
                <w:lang w:val="en-US" w:eastAsia="zh-CN"/>
              </w:rPr>
              <w:t>购买</w:t>
            </w:r>
            <w:r>
              <w:rPr>
                <w:rFonts w:hint="eastAsia" w:ascii="楷体" w:hAnsi="楷体" w:eastAsia="楷体" w:cs="宋体"/>
                <w:b/>
                <w:spacing w:val="-2"/>
                <w:sz w:val="18"/>
                <w:szCs w:val="18"/>
                <w:highlight w:val="none"/>
              </w:rPr>
              <w:t>上限</w:t>
            </w:r>
          </w:p>
        </w:tc>
        <w:tc>
          <w:tcPr>
            <w:tcW w:w="7937" w:type="dxa"/>
            <w:noWrap w:val="0"/>
            <w:vAlign w:val="center"/>
          </w:tcPr>
          <w:p>
            <w:pPr>
              <w:pStyle w:val="15"/>
              <w:keepNext w:val="0"/>
              <w:keepLines w:val="0"/>
              <w:pageBreakBefore w:val="0"/>
              <w:widowControl w:val="0"/>
              <w:kinsoku w:val="0"/>
              <w:wordWrap/>
              <w:overflowPunct w:val="0"/>
              <w:topLinePunct w:val="0"/>
              <w:autoSpaceDE/>
              <w:autoSpaceDN/>
              <w:bidi w:val="0"/>
              <w:snapToGrid w:val="0"/>
              <w:spacing w:line="240" w:lineRule="auto"/>
              <w:ind w:left="22" w:leftChars="10" w:right="22"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JS份额：10000万</w:t>
            </w:r>
            <w:r>
              <w:rPr>
                <w:rFonts w:hint="eastAsia" w:ascii="楷体" w:hAnsi="楷体" w:eastAsia="楷体" w:cs="宋体"/>
                <w:spacing w:val="-2"/>
                <w:sz w:val="18"/>
                <w:szCs w:val="18"/>
                <w:highlight w:val="none"/>
              </w:rPr>
              <w:t>元。超过购买上限时，管理人有权拒绝投资者</w:t>
            </w:r>
            <w:r>
              <w:rPr>
                <w:rFonts w:hint="eastAsia" w:ascii="楷体" w:hAnsi="楷体" w:eastAsia="楷体" w:cs="宋体"/>
                <w:spacing w:val="-2"/>
                <w:sz w:val="18"/>
                <w:szCs w:val="18"/>
                <w:highlight w:val="none"/>
                <w:lang w:val="en-US" w:eastAsia="zh-CN"/>
              </w:rPr>
              <w:t>购买</w:t>
            </w:r>
            <w:r>
              <w:rPr>
                <w:rFonts w:hint="eastAsia" w:ascii="楷体" w:hAnsi="楷体" w:eastAsia="楷体" w:cs="宋体"/>
                <w:spacing w:val="-2"/>
                <w:sz w:val="18"/>
                <w:szCs w:val="18"/>
                <w:highlight w:val="none"/>
              </w:rPr>
              <w:t>申请。产品存续期</w:t>
            </w:r>
            <w:r>
              <w:rPr>
                <w:rFonts w:ascii="楷体" w:hAnsi="楷体" w:eastAsia="楷体" w:cs="宋体"/>
                <w:spacing w:val="-2"/>
                <w:sz w:val="18"/>
                <w:szCs w:val="18"/>
                <w:highlight w:val="none"/>
              </w:rPr>
              <w:t>内管理人有权根据实际情况调整</w:t>
            </w:r>
            <w:r>
              <w:rPr>
                <w:rFonts w:hint="eastAsia" w:ascii="楷体" w:hAnsi="楷体" w:eastAsia="楷体" w:cs="宋体"/>
                <w:spacing w:val="-2"/>
                <w:sz w:val="18"/>
                <w:szCs w:val="18"/>
                <w:highlight w:val="none"/>
              </w:rPr>
              <w:t>单个</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spacing w:val="-2"/>
                <w:sz w:val="18"/>
                <w:szCs w:val="18"/>
                <w:highlight w:val="none"/>
              </w:rPr>
              <w:t>单笔购买上限。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15"/>
              <w:keepNext w:val="0"/>
              <w:keepLines w:val="0"/>
              <w:pageBreakBefore w:val="0"/>
              <w:widowControl w:val="0"/>
              <w:kinsoku w:val="0"/>
              <w:wordWrap/>
              <w:overflowPunct w:val="0"/>
              <w:topLinePunct w:val="0"/>
              <w:autoSpaceDE/>
              <w:autoSpaceDN/>
              <w:bidi w:val="0"/>
              <w:adjustRightInd w:val="0"/>
              <w:snapToGrid w:val="0"/>
              <w:ind w:left="22" w:leftChars="10" w:right="22"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投资者单笔</w:t>
            </w:r>
            <w:r>
              <w:rPr>
                <w:rFonts w:ascii="楷体" w:hAnsi="楷体" w:eastAsia="楷体" w:cs="宋体"/>
                <w:b/>
                <w:spacing w:val="-2"/>
                <w:sz w:val="18"/>
                <w:szCs w:val="18"/>
                <w:highlight w:val="none"/>
              </w:rPr>
              <w:t>赎回</w:t>
            </w:r>
            <w:r>
              <w:rPr>
                <w:rFonts w:hint="eastAsia" w:ascii="楷体" w:hAnsi="楷体" w:eastAsia="楷体" w:cs="宋体"/>
                <w:b/>
                <w:spacing w:val="-2"/>
                <w:sz w:val="18"/>
                <w:szCs w:val="18"/>
                <w:highlight w:val="none"/>
              </w:rPr>
              <w:t>上限</w:t>
            </w:r>
          </w:p>
        </w:tc>
        <w:tc>
          <w:tcPr>
            <w:tcW w:w="7937" w:type="dxa"/>
            <w:noWrap w:val="0"/>
            <w:vAlign w:val="center"/>
          </w:tcPr>
          <w:p>
            <w:pPr>
              <w:pStyle w:val="15"/>
              <w:keepNext w:val="0"/>
              <w:keepLines w:val="0"/>
              <w:pageBreakBefore w:val="0"/>
              <w:widowControl w:val="0"/>
              <w:kinsoku w:val="0"/>
              <w:wordWrap/>
              <w:overflowPunct w:val="0"/>
              <w:topLinePunct w:val="0"/>
              <w:autoSpaceDE/>
              <w:autoSpaceDN/>
              <w:bidi w:val="0"/>
              <w:snapToGrid w:val="0"/>
              <w:spacing w:line="240" w:lineRule="auto"/>
              <w:ind w:left="22" w:leftChars="10" w:right="22" w:rightChars="10"/>
              <w:jc w:val="both"/>
              <w:textAlignment w:val="auto"/>
              <w:rPr>
                <w:rFonts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10000万</w:t>
            </w:r>
            <w:r>
              <w:rPr>
                <w:rFonts w:hint="eastAsia" w:ascii="楷体" w:hAnsi="楷体" w:eastAsia="楷体" w:cs="宋体"/>
                <w:spacing w:val="-2"/>
                <w:sz w:val="18"/>
                <w:szCs w:val="18"/>
                <w:highlight w:val="none"/>
              </w:rPr>
              <w:t>份。超过</w:t>
            </w:r>
            <w:r>
              <w:rPr>
                <w:rFonts w:ascii="楷体" w:hAnsi="楷体" w:eastAsia="楷体" w:cs="宋体"/>
                <w:spacing w:val="-2"/>
                <w:sz w:val="18"/>
                <w:szCs w:val="18"/>
                <w:highlight w:val="none"/>
              </w:rPr>
              <w:t>赎回</w:t>
            </w:r>
            <w:r>
              <w:rPr>
                <w:rFonts w:hint="eastAsia" w:ascii="楷体" w:hAnsi="楷体" w:eastAsia="楷体" w:cs="宋体"/>
                <w:spacing w:val="-2"/>
                <w:sz w:val="18"/>
                <w:szCs w:val="18"/>
                <w:highlight w:val="none"/>
              </w:rPr>
              <w:t>上限时，管理人有权拒绝投资者</w:t>
            </w:r>
            <w:r>
              <w:rPr>
                <w:rFonts w:ascii="楷体" w:hAnsi="楷体" w:eastAsia="楷体" w:cs="宋体"/>
                <w:spacing w:val="-2"/>
                <w:sz w:val="18"/>
                <w:szCs w:val="18"/>
                <w:highlight w:val="none"/>
              </w:rPr>
              <w:t>赎回</w:t>
            </w:r>
            <w:r>
              <w:rPr>
                <w:rFonts w:hint="eastAsia" w:ascii="楷体" w:hAnsi="楷体" w:eastAsia="楷体" w:cs="宋体"/>
                <w:spacing w:val="-2"/>
                <w:sz w:val="18"/>
                <w:szCs w:val="18"/>
                <w:highlight w:val="none"/>
              </w:rPr>
              <w:t>申请。产品存续期</w:t>
            </w:r>
            <w:r>
              <w:rPr>
                <w:rFonts w:ascii="楷体" w:hAnsi="楷体" w:eastAsia="楷体" w:cs="宋体"/>
                <w:spacing w:val="-2"/>
                <w:sz w:val="18"/>
                <w:szCs w:val="18"/>
                <w:highlight w:val="none"/>
              </w:rPr>
              <w:t>内管理人有权根据实际情况调整</w:t>
            </w:r>
            <w:r>
              <w:rPr>
                <w:rFonts w:hint="eastAsia" w:ascii="楷体" w:hAnsi="楷体" w:eastAsia="楷体" w:cs="宋体"/>
                <w:spacing w:val="-2"/>
                <w:sz w:val="18"/>
                <w:szCs w:val="18"/>
                <w:highlight w:val="none"/>
              </w:rPr>
              <w:t>单个</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spacing w:val="-2"/>
                <w:sz w:val="18"/>
                <w:szCs w:val="18"/>
                <w:highlight w:val="none"/>
              </w:rPr>
              <w:t>单笔赎回上限。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15"/>
              <w:keepNext w:val="0"/>
              <w:keepLines w:val="0"/>
              <w:pageBreakBefore w:val="0"/>
              <w:widowControl w:val="0"/>
              <w:kinsoku w:val="0"/>
              <w:wordWrap/>
              <w:overflowPunct w:val="0"/>
              <w:topLinePunct w:val="0"/>
              <w:autoSpaceDE/>
              <w:autoSpaceDN/>
              <w:bidi w:val="0"/>
              <w:adjustRightInd w:val="0"/>
              <w:snapToGrid w:val="0"/>
              <w:ind w:left="22" w:leftChars="10" w:right="22" w:rightChars="10"/>
              <w:jc w:val="both"/>
              <w:textAlignment w:val="auto"/>
              <w:rPr>
                <w:rFonts w:hint="eastAsia" w:ascii="楷体" w:hAnsi="楷体" w:eastAsia="楷体" w:cs="宋体"/>
                <w:b/>
                <w:spacing w:val="-2"/>
                <w:kern w:val="0"/>
                <w:sz w:val="18"/>
                <w:szCs w:val="18"/>
                <w:highlight w:val="none"/>
                <w:lang w:val="en-US" w:eastAsia="zh-CN" w:bidi="ar-SA"/>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w:t>
            </w:r>
            <w:r>
              <w:rPr>
                <w:rFonts w:hint="eastAsia" w:ascii="楷体" w:hAnsi="楷体" w:eastAsia="楷体" w:cs="宋体"/>
                <w:b/>
                <w:spacing w:val="-2"/>
                <w:sz w:val="18"/>
                <w:szCs w:val="18"/>
                <w:highlight w:val="none"/>
              </w:rPr>
              <w:t>持有比例上限</w:t>
            </w:r>
          </w:p>
        </w:tc>
        <w:tc>
          <w:tcPr>
            <w:tcW w:w="7937" w:type="dxa"/>
            <w:noWrap w:val="0"/>
            <w:vAlign w:val="center"/>
          </w:tcPr>
          <w:p>
            <w:pPr>
              <w:pStyle w:val="15"/>
              <w:keepNext w:val="0"/>
              <w:keepLines w:val="0"/>
              <w:pageBreakBefore w:val="0"/>
              <w:widowControl w:val="0"/>
              <w:kinsoku w:val="0"/>
              <w:wordWrap/>
              <w:overflowPunct w:val="0"/>
              <w:topLinePunct w:val="0"/>
              <w:autoSpaceDE/>
              <w:autoSpaceDN/>
              <w:bidi w:val="0"/>
              <w:snapToGrid w:val="0"/>
              <w:spacing w:line="240" w:lineRule="auto"/>
              <w:ind w:left="22" w:leftChars="10" w:right="22" w:rightChars="10"/>
              <w:jc w:val="both"/>
              <w:textAlignment w:val="auto"/>
              <w:rPr>
                <w:rFonts w:hint="eastAsia" w:ascii="楷体" w:hAnsi="楷体" w:eastAsia="楷体" w:cs="宋体"/>
                <w:spacing w:val="-2"/>
                <w:kern w:val="0"/>
                <w:sz w:val="18"/>
                <w:szCs w:val="18"/>
                <w:highlight w:val="none"/>
                <w:lang w:val="en-US" w:eastAsia="zh-CN" w:bidi="ar-SA"/>
              </w:rPr>
            </w:pPr>
            <w:r>
              <w:rPr>
                <w:rFonts w:hint="eastAsia" w:ascii="楷体" w:hAnsi="楷体" w:eastAsia="楷体" w:cs="宋体"/>
                <w:spacing w:val="-2"/>
                <w:sz w:val="18"/>
                <w:szCs w:val="18"/>
                <w:highlight w:val="none"/>
              </w:rPr>
              <w:t>单一投资者持有份额不得超过总份额50%。非因主观因素导致突破前款规定比例限制的，在单一投资者持有份额占理财产品总份额比例降至50%以下之前，不再接受该单一投资者对理财产品的购买申请。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15"/>
              <w:keepNext w:val="0"/>
              <w:keepLines w:val="0"/>
              <w:pageBreakBefore w:val="0"/>
              <w:widowControl w:val="0"/>
              <w:kinsoku w:val="0"/>
              <w:wordWrap/>
              <w:overflowPunct w:val="0"/>
              <w:topLinePunct w:val="0"/>
              <w:autoSpaceDE/>
              <w:autoSpaceDN/>
              <w:bidi w:val="0"/>
              <w:adjustRightInd w:val="0"/>
              <w:snapToGrid w:val="0"/>
              <w:ind w:left="22" w:leftChars="10" w:right="22"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巨额</w:t>
            </w:r>
            <w:r>
              <w:rPr>
                <w:rFonts w:ascii="楷体" w:hAnsi="楷体" w:eastAsia="楷体" w:cs="宋体"/>
                <w:b/>
                <w:spacing w:val="-2"/>
                <w:sz w:val="18"/>
                <w:szCs w:val="18"/>
                <w:highlight w:val="none"/>
              </w:rPr>
              <w:t>申购</w:t>
            </w:r>
          </w:p>
        </w:tc>
        <w:tc>
          <w:tcPr>
            <w:tcW w:w="7937" w:type="dxa"/>
            <w:noWrap w:val="0"/>
            <w:vAlign w:val="center"/>
          </w:tcPr>
          <w:p>
            <w:pPr>
              <w:keepNext w:val="0"/>
              <w:keepLines w:val="0"/>
              <w:pageBreakBefore w:val="0"/>
              <w:widowControl w:val="0"/>
              <w:wordWrap/>
              <w:topLinePunct w:val="0"/>
              <w:autoSpaceDE/>
              <w:autoSpaceDN/>
              <w:bidi w:val="0"/>
              <w:snapToGrid w:val="0"/>
              <w:spacing w:line="240" w:lineRule="auto"/>
              <w:ind w:left="22" w:leftChars="10" w:right="22" w:rightChars="10"/>
              <w:jc w:val="both"/>
              <w:textAlignment w:val="auto"/>
              <w:rPr>
                <w:rFonts w:hint="eastAsia" w:ascii="楷体" w:hAnsi="楷体" w:eastAsia="楷体" w:cs="宋体"/>
                <w:spacing w:val="-2"/>
                <w:kern w:val="0"/>
                <w:sz w:val="18"/>
                <w:szCs w:val="18"/>
                <w:highlight w:val="none"/>
              </w:rPr>
            </w:pPr>
            <w:r>
              <w:rPr>
                <w:rFonts w:hint="eastAsia" w:ascii="楷体" w:hAnsi="楷体" w:eastAsia="楷体" w:cs="宋体"/>
                <w:spacing w:val="-2"/>
                <w:kern w:val="0"/>
                <w:sz w:val="18"/>
                <w:szCs w:val="18"/>
                <w:highlight w:val="none"/>
              </w:rPr>
              <w:t>本产品单个开放日投资者净申购额（申购申请份额总数扣除赎回申请份额总数）超过上一日</w:t>
            </w:r>
            <w:r>
              <w:rPr>
                <w:rFonts w:hint="eastAsia" w:ascii="楷体" w:hAnsi="楷体" w:eastAsia="楷体" w:cs="宋体"/>
                <w:spacing w:val="-2"/>
                <w:kern w:val="0"/>
                <w:sz w:val="18"/>
                <w:szCs w:val="18"/>
                <w:highlight w:val="none"/>
                <w:lang w:val="en-US" w:eastAsia="zh-CN"/>
              </w:rPr>
              <w:t>日终</w:t>
            </w:r>
            <w:r>
              <w:rPr>
                <w:rFonts w:hint="eastAsia" w:ascii="楷体" w:hAnsi="楷体" w:eastAsia="楷体" w:cs="宋体"/>
                <w:spacing w:val="-2"/>
                <w:kern w:val="0"/>
                <w:sz w:val="18"/>
                <w:szCs w:val="18"/>
                <w:highlight w:val="none"/>
              </w:rPr>
              <w:t>份额20%时，即认为发生了巨额申购。</w:t>
            </w:r>
            <w:r>
              <w:rPr>
                <w:rFonts w:hint="eastAsia" w:ascii="楷体" w:hAnsi="楷体" w:eastAsia="楷体" w:cs="宋体"/>
                <w:b/>
                <w:bCs/>
                <w:spacing w:val="-2"/>
                <w:kern w:val="0"/>
                <w:sz w:val="18"/>
                <w:szCs w:val="18"/>
                <w:highlight w:val="none"/>
                <w:u w:val="single"/>
              </w:rPr>
              <w:t>当出现巨额申购时，管理人有权拒绝投资者的全部或部分申购申请。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15"/>
              <w:keepNext w:val="0"/>
              <w:keepLines w:val="0"/>
              <w:pageBreakBefore w:val="0"/>
              <w:widowControl w:val="0"/>
              <w:kinsoku w:val="0"/>
              <w:wordWrap/>
              <w:overflowPunct w:val="0"/>
              <w:topLinePunct w:val="0"/>
              <w:autoSpaceDE/>
              <w:autoSpaceDN/>
              <w:bidi w:val="0"/>
              <w:adjustRightInd w:val="0"/>
              <w:snapToGrid w:val="0"/>
              <w:ind w:left="22" w:leftChars="10" w:right="22"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巨额赎回</w:t>
            </w:r>
          </w:p>
        </w:tc>
        <w:tc>
          <w:tcPr>
            <w:tcW w:w="7937" w:type="dxa"/>
            <w:noWrap w:val="0"/>
            <w:vAlign w:val="center"/>
          </w:tcPr>
          <w:p>
            <w:pPr>
              <w:keepNext w:val="0"/>
              <w:keepLines w:val="0"/>
              <w:pageBreakBefore w:val="0"/>
              <w:widowControl w:val="0"/>
              <w:wordWrap/>
              <w:topLinePunct w:val="0"/>
              <w:autoSpaceDE/>
              <w:autoSpaceDN/>
              <w:bidi w:val="0"/>
              <w:snapToGrid w:val="0"/>
              <w:spacing w:line="240" w:lineRule="auto"/>
              <w:ind w:left="22" w:leftChars="10" w:right="22" w:rightChars="10"/>
              <w:jc w:val="both"/>
              <w:textAlignment w:val="auto"/>
              <w:rPr>
                <w:rFonts w:hint="eastAsia" w:ascii="楷体" w:hAnsi="楷体" w:eastAsia="楷体" w:cs="宋体"/>
                <w:b/>
                <w:bCs/>
                <w:spacing w:val="-2"/>
                <w:sz w:val="18"/>
                <w:szCs w:val="18"/>
                <w:highlight w:val="none"/>
                <w:u w:val="single"/>
              </w:rPr>
            </w:pPr>
            <w:r>
              <w:rPr>
                <w:rFonts w:hint="eastAsia" w:ascii="楷体" w:hAnsi="楷体" w:eastAsia="楷体" w:cs="宋体"/>
                <w:b/>
                <w:bCs/>
                <w:spacing w:val="-2"/>
                <w:sz w:val="18"/>
                <w:szCs w:val="18"/>
                <w:highlight w:val="none"/>
                <w:u w:val="single"/>
              </w:rPr>
              <w:t>本产品</w:t>
            </w:r>
            <w:r>
              <w:rPr>
                <w:rFonts w:hint="eastAsia" w:ascii="楷体" w:hAnsi="楷体" w:eastAsia="楷体" w:cs="宋体"/>
                <w:b/>
                <w:bCs/>
                <w:spacing w:val="-2"/>
                <w:sz w:val="18"/>
                <w:szCs w:val="18"/>
                <w:highlight w:val="none"/>
                <w:u w:val="single"/>
                <w:lang w:val="en-US" w:eastAsia="zh-CN"/>
              </w:rPr>
              <w:t>单</w:t>
            </w:r>
            <w:r>
              <w:rPr>
                <w:rFonts w:hint="eastAsia" w:ascii="楷体" w:hAnsi="楷体" w:eastAsia="楷体" w:cs="宋体"/>
                <w:b/>
                <w:bCs/>
                <w:spacing w:val="-2"/>
                <w:sz w:val="18"/>
                <w:szCs w:val="18"/>
                <w:highlight w:val="none"/>
                <w:u w:val="single"/>
              </w:rPr>
              <w:t>个开放日投资者净赎回额（赎回申请份额总数扣除申购申请份额总数）超过上一日</w:t>
            </w:r>
            <w:r>
              <w:rPr>
                <w:rFonts w:hint="eastAsia" w:ascii="楷体" w:hAnsi="楷体" w:eastAsia="楷体" w:cs="宋体"/>
                <w:b/>
                <w:bCs/>
                <w:spacing w:val="-2"/>
                <w:sz w:val="18"/>
                <w:szCs w:val="18"/>
                <w:highlight w:val="none"/>
                <w:u w:val="single"/>
                <w:lang w:val="en-US" w:eastAsia="zh-CN"/>
              </w:rPr>
              <w:t>日终</w:t>
            </w:r>
            <w:r>
              <w:rPr>
                <w:rFonts w:hint="eastAsia" w:ascii="楷体" w:hAnsi="楷体" w:eastAsia="楷体" w:cs="宋体"/>
                <w:b/>
                <w:bCs/>
                <w:spacing w:val="-2"/>
                <w:sz w:val="18"/>
                <w:szCs w:val="18"/>
                <w:highlight w:val="none"/>
                <w:u w:val="single"/>
              </w:rPr>
              <w:t>份额10%时，即</w:t>
            </w:r>
            <w:r>
              <w:rPr>
                <w:rFonts w:hint="eastAsia" w:ascii="楷体" w:hAnsi="楷体" w:eastAsia="楷体" w:cs="宋体"/>
                <w:b/>
                <w:bCs/>
                <w:spacing w:val="-2"/>
                <w:sz w:val="18"/>
                <w:szCs w:val="18"/>
                <w:highlight w:val="none"/>
                <w:u w:val="single"/>
                <w:lang w:val="en-US" w:eastAsia="zh-CN"/>
              </w:rPr>
              <w:t>认</w:t>
            </w:r>
            <w:r>
              <w:rPr>
                <w:rFonts w:hint="eastAsia" w:ascii="楷体" w:hAnsi="楷体" w:eastAsia="楷体" w:cs="宋体"/>
                <w:b/>
                <w:bCs/>
                <w:spacing w:val="-2"/>
                <w:sz w:val="18"/>
                <w:szCs w:val="18"/>
                <w:highlight w:val="none"/>
                <w:u w:val="single"/>
              </w:rPr>
              <w:t>为发生</w:t>
            </w:r>
            <w:r>
              <w:rPr>
                <w:rFonts w:hint="eastAsia" w:ascii="楷体" w:hAnsi="楷体" w:eastAsia="楷体" w:cs="宋体"/>
                <w:b/>
                <w:bCs/>
                <w:spacing w:val="-2"/>
                <w:sz w:val="18"/>
                <w:szCs w:val="18"/>
                <w:highlight w:val="none"/>
                <w:u w:val="single"/>
                <w:lang w:val="en-US" w:eastAsia="zh-CN"/>
              </w:rPr>
              <w:t>了</w:t>
            </w:r>
            <w:r>
              <w:rPr>
                <w:rFonts w:hint="eastAsia" w:ascii="楷体" w:hAnsi="楷体" w:eastAsia="楷体" w:cs="宋体"/>
                <w:b/>
                <w:bCs/>
                <w:spacing w:val="-2"/>
                <w:sz w:val="18"/>
                <w:szCs w:val="18"/>
                <w:highlight w:val="none"/>
                <w:u w:val="single"/>
              </w:rPr>
              <w:t>巨额赎回。管理人可以根据本产品当时的资产组合状况决定采取全额赎回、部分赎回、</w:t>
            </w:r>
            <w:r>
              <w:rPr>
                <w:rFonts w:ascii="楷体" w:hAnsi="楷体" w:eastAsia="楷体" w:cs="宋体"/>
                <w:b/>
                <w:bCs/>
                <w:spacing w:val="-2"/>
                <w:sz w:val="18"/>
                <w:szCs w:val="18"/>
                <w:highlight w:val="none"/>
                <w:u w:val="single"/>
              </w:rPr>
              <w:t>延期</w:t>
            </w:r>
            <w:r>
              <w:rPr>
                <w:rFonts w:hint="eastAsia" w:ascii="楷体" w:hAnsi="楷体" w:eastAsia="楷体" w:cs="宋体"/>
                <w:b/>
                <w:bCs/>
                <w:spacing w:val="-2"/>
                <w:sz w:val="18"/>
                <w:szCs w:val="18"/>
                <w:highlight w:val="none"/>
                <w:u w:val="single"/>
              </w:rPr>
              <w:t>办理</w:t>
            </w:r>
            <w:r>
              <w:rPr>
                <w:rFonts w:ascii="楷体" w:hAnsi="楷体" w:eastAsia="楷体" w:cs="宋体"/>
                <w:b/>
                <w:bCs/>
                <w:spacing w:val="-2"/>
                <w:sz w:val="18"/>
                <w:szCs w:val="18"/>
                <w:highlight w:val="none"/>
                <w:u w:val="single"/>
              </w:rPr>
              <w:t>巨额赎回</w:t>
            </w:r>
            <w:r>
              <w:rPr>
                <w:rFonts w:hint="eastAsia" w:ascii="楷体" w:hAnsi="楷体" w:eastAsia="楷体" w:cs="宋体"/>
                <w:b/>
                <w:bCs/>
                <w:spacing w:val="-2"/>
                <w:sz w:val="18"/>
                <w:szCs w:val="18"/>
                <w:highlight w:val="none"/>
                <w:u w:val="single"/>
              </w:rPr>
              <w:t>等</w:t>
            </w:r>
            <w:r>
              <w:rPr>
                <w:rFonts w:ascii="楷体" w:hAnsi="楷体" w:eastAsia="楷体" w:cs="宋体"/>
                <w:b/>
                <w:bCs/>
                <w:spacing w:val="-2"/>
                <w:sz w:val="18"/>
                <w:szCs w:val="18"/>
                <w:highlight w:val="none"/>
                <w:u w:val="single"/>
              </w:rPr>
              <w:t>措施</w:t>
            </w:r>
            <w:r>
              <w:rPr>
                <w:rFonts w:hint="eastAsia" w:ascii="楷体" w:hAnsi="楷体" w:eastAsia="楷体" w:cs="宋体"/>
                <w:b/>
                <w:bCs/>
                <w:spacing w:val="-2"/>
                <w:sz w:val="18"/>
                <w:szCs w:val="18"/>
                <w:highlight w:val="none"/>
                <w:u w:val="single"/>
              </w:rPr>
              <w:t>，管理人将在采取</w:t>
            </w:r>
            <w:r>
              <w:rPr>
                <w:rFonts w:ascii="楷体" w:hAnsi="楷体" w:eastAsia="楷体" w:cs="宋体"/>
                <w:b/>
                <w:bCs/>
                <w:spacing w:val="-2"/>
                <w:sz w:val="18"/>
                <w:szCs w:val="18"/>
                <w:highlight w:val="none"/>
                <w:u w:val="single"/>
              </w:rPr>
              <w:t>相关</w:t>
            </w:r>
            <w:r>
              <w:rPr>
                <w:rFonts w:hint="eastAsia" w:ascii="楷体" w:hAnsi="楷体" w:eastAsia="楷体" w:cs="宋体"/>
                <w:b/>
                <w:bCs/>
                <w:spacing w:val="-2"/>
                <w:sz w:val="18"/>
                <w:szCs w:val="18"/>
                <w:highlight w:val="none"/>
                <w:u w:val="single"/>
              </w:rPr>
              <w:t>措施后3个工作日内进行信息披露。</w:t>
            </w:r>
          </w:p>
          <w:p>
            <w:pPr>
              <w:keepNext w:val="0"/>
              <w:keepLines w:val="0"/>
              <w:pageBreakBefore w:val="0"/>
              <w:widowControl w:val="0"/>
              <w:wordWrap/>
              <w:topLinePunct w:val="0"/>
              <w:autoSpaceDE/>
              <w:autoSpaceDN/>
              <w:bidi w:val="0"/>
              <w:snapToGrid w:val="0"/>
              <w:spacing w:line="240" w:lineRule="auto"/>
              <w:ind w:left="22" w:leftChars="10" w:right="22" w:rightChars="10"/>
              <w:jc w:val="both"/>
              <w:textAlignment w:val="auto"/>
              <w:rPr>
                <w:rFonts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1.全额赎回：当管理人有能力兑付投资者的全部赎回申请时，将在申请确认日按投资者申请赎回份额执行正常赎回程序。</w:t>
            </w:r>
          </w:p>
          <w:p>
            <w:pPr>
              <w:keepNext w:val="0"/>
              <w:keepLines w:val="0"/>
              <w:pageBreakBefore w:val="0"/>
              <w:widowControl w:val="0"/>
              <w:wordWrap/>
              <w:topLinePunct w:val="0"/>
              <w:autoSpaceDE/>
              <w:autoSpaceDN/>
              <w:bidi w:val="0"/>
              <w:snapToGrid w:val="0"/>
              <w:spacing w:line="240" w:lineRule="auto"/>
              <w:ind w:left="22" w:leftChars="10" w:right="22" w:rightChars="10"/>
              <w:jc w:val="both"/>
              <w:textAlignment w:val="auto"/>
              <w:rPr>
                <w:rFonts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2.部分赎回</w:t>
            </w:r>
            <w:r>
              <w:rPr>
                <w:rFonts w:ascii="楷体" w:hAnsi="楷体" w:eastAsia="楷体" w:cs="宋体"/>
                <w:b w:val="0"/>
                <w:bCs/>
                <w:spacing w:val="-2"/>
                <w:sz w:val="18"/>
                <w:szCs w:val="18"/>
                <w:highlight w:val="none"/>
                <w:u w:val="none"/>
              </w:rPr>
              <w:t>：</w:t>
            </w:r>
            <w:r>
              <w:rPr>
                <w:rFonts w:hint="eastAsia" w:ascii="楷体" w:hAnsi="楷体" w:eastAsia="楷体" w:cs="宋体"/>
                <w:b w:val="0"/>
                <w:bCs/>
                <w:spacing w:val="-2"/>
                <w:sz w:val="18"/>
                <w:szCs w:val="18"/>
                <w:highlight w:val="none"/>
                <w:u w:val="none"/>
              </w:rPr>
              <w:t>当管理人认为兑付投资者的赎回申请可能会对产品的资产净值造成较大波动时，当日办理的赎回份额不得低于前一</w:t>
            </w:r>
            <w:r>
              <w:rPr>
                <w:rFonts w:hint="eastAsia" w:ascii="楷体" w:hAnsi="楷体" w:eastAsia="楷体" w:cs="宋体"/>
                <w:b w:val="0"/>
                <w:bCs/>
                <w:spacing w:val="-2"/>
                <w:sz w:val="18"/>
                <w:szCs w:val="18"/>
                <w:highlight w:val="none"/>
                <w:u w:val="none"/>
                <w:lang w:val="en-US" w:eastAsia="zh-CN"/>
              </w:rPr>
              <w:t>日</w:t>
            </w:r>
            <w:r>
              <w:rPr>
                <w:rFonts w:hint="eastAsia" w:ascii="楷体" w:hAnsi="楷体" w:eastAsia="楷体" w:cs="宋体"/>
                <w:b w:val="0"/>
                <w:bCs/>
                <w:spacing w:val="-2"/>
                <w:sz w:val="18"/>
                <w:szCs w:val="18"/>
                <w:highlight w:val="none"/>
                <w:u w:val="none"/>
              </w:rPr>
              <w:t>日终理财产品总份额的10%，对其余赎回申请管理人有权暂停接受或延期办理。对该产品单个</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rPr>
              <w:t>的赎回申请，按照其申请占当日申请赎回总份额的比例，确定该</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rPr>
              <w:t>当日办理的赎回份额。</w:t>
            </w:r>
            <w:r>
              <w:rPr>
                <w:rFonts w:hint="eastAsia" w:ascii="楷体" w:hAnsi="楷体" w:eastAsia="楷体" w:cs="宋体"/>
                <w:b w:val="0"/>
                <w:bCs/>
                <w:spacing w:val="-2"/>
                <w:sz w:val="18"/>
                <w:szCs w:val="18"/>
                <w:highlight w:val="none"/>
                <w:u w:val="none"/>
                <w:lang w:eastAsia="zh-CN"/>
              </w:rPr>
              <w:t>（</w:t>
            </w:r>
            <w:r>
              <w:rPr>
                <w:rFonts w:hint="eastAsia" w:ascii="楷体" w:hAnsi="楷体" w:eastAsia="楷体" w:cs="宋体"/>
                <w:b w:val="0"/>
                <w:bCs/>
                <w:spacing w:val="-2"/>
                <w:sz w:val="18"/>
                <w:szCs w:val="18"/>
                <w:highlight w:val="none"/>
                <w:u w:val="none"/>
                <w:lang w:val="en-US" w:eastAsia="zh-CN"/>
              </w:rPr>
              <w:t>示例：某</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lang w:val="en-US" w:eastAsia="zh-CN"/>
              </w:rPr>
              <w:t>当日申请赎回份额5万份，当日全部赎回申请10000万份，假设前一日日终总份额50000万份，发生巨额赎回，管理人当日办理的赎回份额5000万份，则该</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lang w:val="en-US" w:eastAsia="zh-CN"/>
              </w:rPr>
              <w:t>当日确认办理的份额为5/10000*5000=2.5万份</w:t>
            </w:r>
            <w:r>
              <w:rPr>
                <w:rFonts w:hint="eastAsia" w:ascii="楷体" w:hAnsi="楷体" w:eastAsia="楷体" w:cs="宋体"/>
                <w:b w:val="0"/>
                <w:bCs/>
                <w:spacing w:val="-2"/>
                <w:sz w:val="18"/>
                <w:szCs w:val="18"/>
                <w:highlight w:val="none"/>
                <w:u w:val="none"/>
              </w:rPr>
              <w:t>。</w:t>
            </w:r>
            <w:r>
              <w:rPr>
                <w:rFonts w:hint="eastAsia" w:ascii="楷体" w:hAnsi="楷体" w:eastAsia="楷体" w:cs="宋体"/>
                <w:b w:val="0"/>
                <w:bCs/>
                <w:spacing w:val="-2"/>
                <w:sz w:val="18"/>
                <w:szCs w:val="18"/>
                <w:highlight w:val="none"/>
                <w:u w:val="none"/>
                <w:lang w:val="en-US" w:eastAsia="zh-CN"/>
              </w:rPr>
              <w:t>）</w:t>
            </w:r>
          </w:p>
          <w:p>
            <w:pPr>
              <w:keepNext w:val="0"/>
              <w:keepLines w:val="0"/>
              <w:pageBreakBefore w:val="0"/>
              <w:widowControl w:val="0"/>
              <w:wordWrap/>
              <w:topLinePunct w:val="0"/>
              <w:autoSpaceDE/>
              <w:autoSpaceDN/>
              <w:bidi w:val="0"/>
              <w:snapToGrid w:val="0"/>
              <w:spacing w:line="240" w:lineRule="auto"/>
              <w:ind w:left="22" w:leftChars="10" w:right="22" w:rightChars="10"/>
              <w:jc w:val="both"/>
              <w:textAlignment w:val="auto"/>
              <w:rPr>
                <w:rFonts w:hint="eastAsia"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若管理人对于超过10%以上部分的赎回申请选择延期办理，对于未能赎回部分，投资者可选择将当日未获办理的赎回申请予以撤销。投资者未选择撤销的，管理人有权延期至下一个开放日办理，延期至下一个开放日办理的赎回价格为下一个开放日的价格，顺延至下一开放日的赎回申请不享有优先确认权。</w:t>
            </w:r>
          </w:p>
          <w:p>
            <w:pPr>
              <w:keepNext w:val="0"/>
              <w:keepLines w:val="0"/>
              <w:pageBreakBefore w:val="0"/>
              <w:widowControl w:val="0"/>
              <w:wordWrap/>
              <w:topLinePunct w:val="0"/>
              <w:autoSpaceDE/>
              <w:autoSpaceDN/>
              <w:bidi w:val="0"/>
              <w:snapToGrid w:val="0"/>
              <w:spacing w:line="240" w:lineRule="auto"/>
              <w:ind w:left="22" w:leftChars="10" w:right="22" w:rightChars="10"/>
              <w:jc w:val="both"/>
              <w:textAlignment w:val="auto"/>
              <w:rPr>
                <w:rFonts w:hint="eastAsia" w:ascii="楷体" w:hAnsi="楷体" w:eastAsia="楷体" w:cs="宋体"/>
                <w:b/>
                <w:spacing w:val="-2"/>
                <w:sz w:val="18"/>
                <w:szCs w:val="18"/>
                <w:highlight w:val="none"/>
                <w:u w:val="single"/>
              </w:rPr>
            </w:pPr>
            <w:r>
              <w:rPr>
                <w:rFonts w:hint="eastAsia" w:ascii="楷体" w:hAnsi="楷体" w:eastAsia="楷体" w:cs="宋体"/>
                <w:b w:val="0"/>
                <w:bCs/>
                <w:spacing w:val="-2"/>
                <w:sz w:val="18"/>
                <w:szCs w:val="18"/>
                <w:highlight w:val="none"/>
                <w:u w:val="none"/>
              </w:rPr>
              <w:t>3.延缓支付赎回款项：连续2个以上开放日发生巨额赎回的，管理人除有权选择全额赎回或部分赎回等措施外，对于已经接受的赎回申请，管理人可以延缓支付赎回款项，但延缓期限不得超过20个工作日。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15"/>
              <w:keepNext w:val="0"/>
              <w:keepLines w:val="0"/>
              <w:pageBreakBefore w:val="0"/>
              <w:widowControl w:val="0"/>
              <w:kinsoku w:val="0"/>
              <w:wordWrap/>
              <w:overflowPunct w:val="0"/>
              <w:topLinePunct w:val="0"/>
              <w:autoSpaceDE/>
              <w:autoSpaceDN/>
              <w:bidi w:val="0"/>
              <w:adjustRightInd w:val="0"/>
              <w:snapToGrid w:val="0"/>
              <w:ind w:left="22" w:leftChars="10" w:right="22"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业绩比较基准</w:t>
            </w:r>
          </w:p>
          <w:p>
            <w:pPr>
              <w:pStyle w:val="15"/>
              <w:keepNext w:val="0"/>
              <w:keepLines w:val="0"/>
              <w:pageBreakBefore w:val="0"/>
              <w:widowControl w:val="0"/>
              <w:kinsoku w:val="0"/>
              <w:wordWrap/>
              <w:overflowPunct w:val="0"/>
              <w:topLinePunct w:val="0"/>
              <w:autoSpaceDE/>
              <w:autoSpaceDN/>
              <w:bidi w:val="0"/>
              <w:adjustRightInd w:val="0"/>
              <w:snapToGrid w:val="0"/>
              <w:ind w:left="22" w:leftChars="10" w:right="22"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（年化）</w:t>
            </w:r>
          </w:p>
        </w:tc>
        <w:tc>
          <w:tcPr>
            <w:tcW w:w="7937" w:type="dxa"/>
            <w:noWrap w:val="0"/>
            <w:vAlign w:val="center"/>
          </w:tcPr>
          <w:p>
            <w:pPr>
              <w:keepNext w:val="0"/>
              <w:keepLines w:val="0"/>
              <w:pageBreakBefore w:val="0"/>
              <w:widowControl w:val="0"/>
              <w:wordWrap/>
              <w:topLinePunct w:val="0"/>
              <w:autoSpaceDE/>
              <w:autoSpaceDN/>
              <w:bidi w:val="0"/>
              <w:snapToGrid w:val="0"/>
              <w:spacing w:line="240" w:lineRule="auto"/>
              <w:ind w:left="22" w:leftChars="10" w:right="22" w:rightChars="10"/>
              <w:jc w:val="both"/>
              <w:textAlignment w:val="auto"/>
              <w:rPr>
                <w:rFonts w:hint="eastAsia" w:ascii="楷体" w:hAnsi="楷体" w:eastAsia="楷体" w:cs="宋体"/>
                <w:b/>
                <w:spacing w:val="-2"/>
                <w:sz w:val="18"/>
                <w:szCs w:val="18"/>
                <w:highlight w:val="none"/>
                <w:u w:val="single"/>
                <w:lang w:val="en-US" w:eastAsia="zh-CN"/>
              </w:rPr>
            </w:pPr>
            <w:r>
              <w:rPr>
                <w:rFonts w:hint="eastAsia" w:ascii="楷体" w:hAnsi="楷体" w:eastAsia="楷体" w:cs="宋体"/>
                <w:b/>
                <w:spacing w:val="-2"/>
                <w:sz w:val="18"/>
                <w:szCs w:val="18"/>
                <w:highlight w:val="none"/>
                <w:u w:val="single"/>
                <w:lang w:val="en-US" w:eastAsia="zh-CN"/>
              </w:rPr>
              <w:t>1.管理人</w:t>
            </w:r>
            <w:r>
              <w:rPr>
                <w:rFonts w:hint="eastAsia" w:ascii="楷体" w:hAnsi="楷体" w:eastAsia="楷体" w:cs="宋体"/>
                <w:b/>
                <w:spacing w:val="-2"/>
                <w:sz w:val="18"/>
                <w:szCs w:val="18"/>
                <w:highlight w:val="none"/>
                <w:u w:val="single"/>
              </w:rPr>
              <w:t>参考过往投资经验，依据近期</w:t>
            </w:r>
            <w:r>
              <w:rPr>
                <w:rFonts w:hint="eastAsia" w:ascii="楷体" w:hAnsi="楷体" w:eastAsia="楷体" w:cs="宋体"/>
                <w:b/>
                <w:spacing w:val="-2"/>
                <w:sz w:val="18"/>
                <w:szCs w:val="18"/>
                <w:highlight w:val="none"/>
                <w:u w:val="single"/>
                <w:lang w:val="en-US" w:eastAsia="zh-CN"/>
              </w:rPr>
              <w:t>货币市场工具、债券等</w:t>
            </w:r>
            <w:r>
              <w:rPr>
                <w:rFonts w:hint="eastAsia" w:ascii="楷体" w:hAnsi="楷体" w:eastAsia="楷体" w:cs="宋体"/>
                <w:b/>
                <w:spacing w:val="-2"/>
                <w:sz w:val="18"/>
                <w:szCs w:val="18"/>
                <w:highlight w:val="none"/>
                <w:u w:val="single"/>
              </w:rPr>
              <w:t>资产投资收益水平，在产品说明书约定的投资范围和投资比例内，综合考虑各</w:t>
            </w:r>
            <w:r>
              <w:rPr>
                <w:rFonts w:hint="eastAsia" w:ascii="楷体" w:hAnsi="楷体" w:eastAsia="楷体" w:cs="宋体"/>
                <w:b/>
                <w:spacing w:val="-2"/>
                <w:sz w:val="18"/>
                <w:szCs w:val="18"/>
                <w:highlight w:val="none"/>
                <w:u w:val="single"/>
                <w:lang w:val="en-US" w:eastAsia="zh-CN"/>
              </w:rPr>
              <w:t>类</w:t>
            </w:r>
            <w:r>
              <w:rPr>
                <w:rFonts w:hint="eastAsia" w:ascii="楷体" w:hAnsi="楷体" w:eastAsia="楷体" w:cs="宋体"/>
                <w:b/>
                <w:spacing w:val="-2"/>
                <w:sz w:val="18"/>
                <w:szCs w:val="18"/>
                <w:highlight w:val="none"/>
                <w:u w:val="single"/>
              </w:rPr>
              <w:t>份额收取的</w:t>
            </w:r>
            <w:r>
              <w:rPr>
                <w:rFonts w:hint="eastAsia" w:ascii="楷体" w:hAnsi="楷体" w:eastAsia="楷体" w:cs="宋体"/>
                <w:b/>
                <w:spacing w:val="-2"/>
                <w:sz w:val="18"/>
                <w:szCs w:val="18"/>
                <w:highlight w:val="none"/>
                <w:u w:val="single"/>
                <w:lang w:val="en-US" w:eastAsia="zh-CN"/>
              </w:rPr>
              <w:t>销售服务费和投资管理费等费用情况，模拟测算得出业绩比较基准。</w:t>
            </w:r>
          </w:p>
          <w:p>
            <w:pPr>
              <w:keepNext w:val="0"/>
              <w:keepLines w:val="0"/>
              <w:pageBreakBefore w:val="0"/>
              <w:widowControl w:val="0"/>
              <w:wordWrap/>
              <w:topLinePunct w:val="0"/>
              <w:autoSpaceDE/>
              <w:autoSpaceDN/>
              <w:bidi w:val="0"/>
              <w:snapToGrid w:val="0"/>
              <w:spacing w:line="240" w:lineRule="auto"/>
              <w:ind w:left="22" w:leftChars="10" w:right="22" w:rightChars="10"/>
              <w:jc w:val="both"/>
              <w:textAlignment w:val="auto"/>
              <w:rPr>
                <w:rFonts w:hint="eastAsia" w:ascii="楷体" w:hAnsi="楷体" w:eastAsia="楷体" w:cs="宋体"/>
                <w:b/>
                <w:spacing w:val="-2"/>
                <w:sz w:val="18"/>
                <w:szCs w:val="18"/>
                <w:highlight w:val="none"/>
                <w:u w:val="single"/>
              </w:rPr>
            </w:pPr>
            <w:r>
              <w:rPr>
                <w:rFonts w:hint="eastAsia" w:ascii="楷体" w:hAnsi="楷体" w:eastAsia="楷体" w:cs="宋体"/>
                <w:b/>
                <w:spacing w:val="-2"/>
                <w:sz w:val="18"/>
                <w:szCs w:val="18"/>
                <w:highlight w:val="none"/>
                <w:u w:val="single"/>
                <w:lang w:val="en-US" w:eastAsia="zh-CN"/>
              </w:rPr>
              <w:t>2.本产品各类份额可能因收取的销售服务费和投资管理费存在差异，业绩比较基准设置有所不同。</w:t>
            </w:r>
            <w:r>
              <w:rPr>
                <w:rFonts w:hint="eastAsia" w:ascii="楷体" w:hAnsi="楷体" w:eastAsia="楷体" w:cs="宋体"/>
                <w:b w:val="0"/>
                <w:bCs/>
                <w:spacing w:val="-2"/>
                <w:sz w:val="18"/>
                <w:szCs w:val="18"/>
                <w:highlight w:val="none"/>
                <w:u w:val="none"/>
              </w:rPr>
              <w:t>各</w:t>
            </w:r>
            <w:r>
              <w:rPr>
                <w:rFonts w:hint="eastAsia" w:ascii="楷体" w:hAnsi="楷体" w:eastAsia="楷体" w:cs="宋体"/>
                <w:b w:val="0"/>
                <w:bCs/>
                <w:spacing w:val="-2"/>
                <w:sz w:val="18"/>
                <w:szCs w:val="18"/>
                <w:highlight w:val="none"/>
                <w:u w:val="none"/>
                <w:lang w:val="en-US" w:eastAsia="zh-CN"/>
              </w:rPr>
              <w:t>类</w:t>
            </w:r>
            <w:r>
              <w:rPr>
                <w:rFonts w:hint="eastAsia" w:ascii="楷体" w:hAnsi="楷体" w:eastAsia="楷体" w:cs="宋体"/>
                <w:b w:val="0"/>
                <w:bCs/>
                <w:spacing w:val="-2"/>
                <w:sz w:val="18"/>
                <w:szCs w:val="18"/>
                <w:highlight w:val="none"/>
                <w:u w:val="none"/>
              </w:rPr>
              <w:t>份额业绩比较基准如下：</w:t>
            </w:r>
          </w:p>
          <w:p>
            <w:pPr>
              <w:keepNext w:val="0"/>
              <w:keepLines w:val="0"/>
              <w:pageBreakBefore w:val="0"/>
              <w:widowControl w:val="0"/>
              <w:wordWrap/>
              <w:topLinePunct w:val="0"/>
              <w:autoSpaceDE/>
              <w:autoSpaceDN/>
              <w:bidi w:val="0"/>
              <w:snapToGrid w:val="0"/>
              <w:spacing w:line="240" w:lineRule="auto"/>
              <w:ind w:left="22" w:leftChars="10" w:right="22" w:rightChars="10"/>
              <w:jc w:val="both"/>
              <w:textAlignment w:val="auto"/>
              <w:rPr>
                <w:rFonts w:hint="default" w:ascii="楷体" w:hAnsi="楷体" w:eastAsia="楷体" w:cs="宋体"/>
                <w:b w:val="0"/>
                <w:bCs/>
                <w:spacing w:val="-2"/>
                <w:sz w:val="18"/>
                <w:szCs w:val="18"/>
                <w:highlight w:val="none"/>
                <w:u w:val="none"/>
                <w:lang w:val="en-US" w:eastAsia="zh-CN"/>
              </w:rPr>
            </w:pPr>
            <w:r>
              <w:rPr>
                <w:rFonts w:hint="eastAsia" w:ascii="楷体" w:hAnsi="楷体" w:eastAsia="楷体" w:cs="宋体"/>
                <w:b w:val="0"/>
                <w:bCs/>
                <w:spacing w:val="-2"/>
                <w:sz w:val="18"/>
                <w:szCs w:val="18"/>
                <w:highlight w:val="none"/>
                <w:u w:val="none"/>
                <w:lang w:val="en-US" w:eastAsia="zh-CN"/>
              </w:rPr>
              <w:t>JS份额：2.00%-2.80%。</w:t>
            </w:r>
          </w:p>
          <w:p>
            <w:pPr>
              <w:keepNext w:val="0"/>
              <w:keepLines w:val="0"/>
              <w:pageBreakBefore w:val="0"/>
              <w:widowControl w:val="0"/>
              <w:kinsoku/>
              <w:wordWrap/>
              <w:overflowPunct/>
              <w:topLinePunct w:val="0"/>
              <w:autoSpaceDE/>
              <w:autoSpaceDN/>
              <w:bidi w:val="0"/>
              <w:adjustRightInd/>
              <w:snapToGrid w:val="0"/>
              <w:spacing w:line="240" w:lineRule="auto"/>
              <w:ind w:left="22" w:leftChars="10" w:right="22"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b/>
                <w:spacing w:val="-2"/>
                <w:sz w:val="18"/>
                <w:szCs w:val="18"/>
                <w:highlight w:val="none"/>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15"/>
              <w:keepNext w:val="0"/>
              <w:keepLines w:val="0"/>
              <w:pageBreakBefore w:val="0"/>
              <w:widowControl w:val="0"/>
              <w:kinsoku w:val="0"/>
              <w:wordWrap/>
              <w:overflowPunct w:val="0"/>
              <w:topLinePunct w:val="0"/>
              <w:autoSpaceDE/>
              <w:autoSpaceDN/>
              <w:bidi w:val="0"/>
              <w:adjustRightInd w:val="0"/>
              <w:snapToGrid w:val="0"/>
              <w:ind w:left="22" w:leftChars="10" w:right="22"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产品费用</w:t>
            </w:r>
          </w:p>
        </w:tc>
        <w:tc>
          <w:tcPr>
            <w:tcW w:w="7937" w:type="dxa"/>
            <w:noWrap w:val="0"/>
            <w:vAlign w:val="center"/>
          </w:tcPr>
          <w:p>
            <w:pPr>
              <w:pStyle w:val="15"/>
              <w:keepNext w:val="0"/>
              <w:keepLines w:val="0"/>
              <w:pageBreakBefore w:val="0"/>
              <w:widowControl w:val="0"/>
              <w:kinsoku/>
              <w:wordWrap/>
              <w:overflowPunct w:val="0"/>
              <w:topLinePunct w:val="0"/>
              <w:autoSpaceDE/>
              <w:autoSpaceDN/>
              <w:bidi w:val="0"/>
              <w:adjustRightInd w:val="0"/>
              <w:snapToGrid w:val="0"/>
              <w:spacing w:line="240" w:lineRule="auto"/>
              <w:ind w:left="22" w:leftChars="10" w:right="22"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本产品费用包括托管费、销售服务费、投资管理费、超额业绩报酬（如有）以及产品运作和清算中产生的其他费用等。</w:t>
            </w:r>
          </w:p>
          <w:p>
            <w:pPr>
              <w:pStyle w:val="15"/>
              <w:keepNext w:val="0"/>
              <w:keepLines w:val="0"/>
              <w:pageBreakBefore w:val="0"/>
              <w:widowControl w:val="0"/>
              <w:kinsoku/>
              <w:wordWrap/>
              <w:overflowPunct w:val="0"/>
              <w:topLinePunct w:val="0"/>
              <w:autoSpaceDE/>
              <w:autoSpaceDN/>
              <w:bidi w:val="0"/>
              <w:adjustRightInd w:val="0"/>
              <w:snapToGrid w:val="0"/>
              <w:spacing w:line="240" w:lineRule="auto"/>
              <w:ind w:left="22" w:leftChars="10" w:right="22"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1.托管费率（年化）：</w:t>
            </w:r>
            <w:r>
              <w:rPr>
                <w:rFonts w:hint="eastAsia" w:ascii="楷体" w:hAnsi="楷体" w:eastAsia="楷体" w:cs="宋体"/>
                <w:spacing w:val="-2"/>
                <w:sz w:val="18"/>
                <w:szCs w:val="18"/>
                <w:highlight w:val="none"/>
                <w:lang w:val="en-US" w:eastAsia="zh-CN"/>
              </w:rPr>
              <w:t>0.02</w:t>
            </w:r>
            <w:r>
              <w:rPr>
                <w:rFonts w:hint="eastAsia" w:ascii="楷体" w:hAnsi="楷体" w:eastAsia="楷体" w:cs="宋体"/>
                <w:spacing w:val="-2"/>
                <w:sz w:val="18"/>
                <w:szCs w:val="18"/>
                <w:highlight w:val="none"/>
              </w:rPr>
              <w:t>%。</w:t>
            </w:r>
          </w:p>
          <w:p>
            <w:pPr>
              <w:pStyle w:val="15"/>
              <w:keepNext w:val="0"/>
              <w:keepLines w:val="0"/>
              <w:pageBreakBefore w:val="0"/>
              <w:widowControl w:val="0"/>
              <w:kinsoku/>
              <w:wordWrap/>
              <w:overflowPunct/>
              <w:topLinePunct w:val="0"/>
              <w:autoSpaceDE/>
              <w:autoSpaceDN/>
              <w:bidi w:val="0"/>
              <w:adjustRightInd w:val="0"/>
              <w:snapToGrid w:val="0"/>
              <w:spacing w:line="240" w:lineRule="auto"/>
              <w:ind w:left="22" w:leftChars="10" w:right="22" w:rightChars="1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rPr>
              <w:t>2.销售服务费率（年化）：JS份额0.20%</w:t>
            </w:r>
            <w:r>
              <w:rPr>
                <w:rFonts w:hint="eastAsia" w:ascii="楷体" w:hAnsi="楷体" w:eastAsia="楷体" w:cs="宋体"/>
                <w:spacing w:val="-2"/>
                <w:sz w:val="18"/>
                <w:szCs w:val="18"/>
                <w:highlight w:val="none"/>
                <w:lang w:val="en-US" w:eastAsia="zh-CN"/>
              </w:rPr>
              <w:t>。</w:t>
            </w:r>
          </w:p>
          <w:p>
            <w:pPr>
              <w:pStyle w:val="15"/>
              <w:keepNext w:val="0"/>
              <w:keepLines w:val="0"/>
              <w:pageBreakBefore w:val="0"/>
              <w:widowControl w:val="0"/>
              <w:kinsoku/>
              <w:wordWrap/>
              <w:overflowPunct w:val="0"/>
              <w:topLinePunct w:val="0"/>
              <w:autoSpaceDE/>
              <w:autoSpaceDN/>
              <w:bidi w:val="0"/>
              <w:adjustRightInd w:val="0"/>
              <w:snapToGrid w:val="0"/>
              <w:spacing w:line="240" w:lineRule="auto"/>
              <w:ind w:left="22" w:leftChars="10" w:right="22" w:rightChars="10"/>
              <w:jc w:val="both"/>
              <w:textAlignment w:val="auto"/>
              <w:rPr>
                <w:rFonts w:hint="eastAsia" w:ascii="楷体" w:hAnsi="楷体" w:eastAsia="楷体" w:cs="宋体"/>
                <w:spacing w:val="-2"/>
                <w:sz w:val="18"/>
                <w:szCs w:val="18"/>
                <w:highlight w:val="none"/>
                <w:lang w:eastAsia="zh-CN"/>
              </w:rPr>
            </w:pPr>
            <w:r>
              <w:rPr>
                <w:rFonts w:hint="eastAsia" w:ascii="楷体" w:hAnsi="楷体" w:eastAsia="楷体" w:cs="宋体"/>
                <w:spacing w:val="-2"/>
                <w:sz w:val="18"/>
                <w:szCs w:val="18"/>
                <w:highlight w:val="none"/>
              </w:rPr>
              <w:t>3.投资管理费率（年化）：JS份额0.60%</w:t>
            </w:r>
            <w:r>
              <w:rPr>
                <w:rFonts w:hint="eastAsia" w:ascii="楷体" w:hAnsi="楷体" w:eastAsia="楷体" w:cs="宋体"/>
                <w:spacing w:val="-2"/>
                <w:sz w:val="18"/>
                <w:szCs w:val="18"/>
                <w:highlight w:val="none"/>
                <w:lang w:eastAsia="zh-CN"/>
              </w:rPr>
              <w:t>。</w:t>
            </w:r>
          </w:p>
          <w:p>
            <w:pPr>
              <w:pStyle w:val="15"/>
              <w:keepNext w:val="0"/>
              <w:keepLines w:val="0"/>
              <w:pageBreakBefore w:val="0"/>
              <w:widowControl w:val="0"/>
              <w:kinsoku w:val="0"/>
              <w:wordWrap/>
              <w:overflowPunct w:val="0"/>
              <w:topLinePunct w:val="0"/>
              <w:autoSpaceDE/>
              <w:autoSpaceDN/>
              <w:bidi w:val="0"/>
              <w:snapToGrid w:val="0"/>
              <w:spacing w:line="240" w:lineRule="auto"/>
              <w:ind w:left="22" w:leftChars="10" w:right="22"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rPr>
              <w:t>4.超额业绩报酬</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lang w:val="en-US" w:eastAsia="zh-CN"/>
              </w:rPr>
              <w:t>如有）</w:t>
            </w:r>
            <w:r>
              <w:rPr>
                <w:rFonts w:hint="eastAsia" w:ascii="楷体" w:hAnsi="楷体" w:eastAsia="楷体" w:cs="宋体"/>
                <w:spacing w:val="-2"/>
                <w:sz w:val="18"/>
                <w:szCs w:val="18"/>
                <w:highlight w:val="none"/>
              </w:rPr>
              <w:t>：</w:t>
            </w:r>
            <w:r>
              <w:rPr>
                <w:rFonts w:hint="eastAsia" w:ascii="楷体" w:hAnsi="楷体" w:eastAsia="楷体" w:cs="宋体"/>
                <w:spacing w:val="-2"/>
                <w:sz w:val="18"/>
                <w:szCs w:val="18"/>
                <w:highlight w:val="none"/>
                <w:lang w:val="en-US" w:eastAsia="zh-CN"/>
              </w:rPr>
              <w:t>假设客户持有期间的年化收益率为R：若R＜业绩比较基准下限，管理人无超额业绩报酬；若业绩比较基准下限≤R＜业绩比较基准上限，管理人对超出业绩比较基准下限的部分收取5%超额业绩报酬；若R≥业绩比较基准上限，管理人对业绩比较基准上限与业绩比较基准下限之间的部分收取5%超额业绩报酬，对超过业绩比较基准上限的部分收取30%超额业绩报酬。</w:t>
            </w:r>
          </w:p>
          <w:p>
            <w:pPr>
              <w:pStyle w:val="15"/>
              <w:keepNext w:val="0"/>
              <w:keepLines w:val="0"/>
              <w:pageBreakBefore w:val="0"/>
              <w:widowControl w:val="0"/>
              <w:kinsoku w:val="0"/>
              <w:wordWrap/>
              <w:overflowPunct w:val="0"/>
              <w:topLinePunct w:val="0"/>
              <w:autoSpaceDE/>
              <w:autoSpaceDN/>
              <w:bidi w:val="0"/>
              <w:snapToGrid w:val="0"/>
              <w:spacing w:line="240" w:lineRule="auto"/>
              <w:ind w:left="22" w:leftChars="10" w:right="22" w:rightChars="10"/>
              <w:jc w:val="both"/>
              <w:textAlignment w:val="auto"/>
              <w:rPr>
                <w:rFonts w:hint="eastAsia" w:ascii="楷体" w:hAnsi="楷体" w:eastAsia="楷体" w:cs="宋体"/>
                <w:b/>
                <w:bCs/>
                <w:spacing w:val="-2"/>
                <w:sz w:val="18"/>
                <w:szCs w:val="18"/>
                <w:highlight w:val="none"/>
                <w:u w:val="single"/>
              </w:rPr>
            </w:pPr>
            <w:r>
              <w:rPr>
                <w:rFonts w:hint="eastAsia" w:ascii="楷体" w:hAnsi="楷体" w:eastAsia="楷体" w:cs="宋体"/>
                <w:b/>
                <w:bCs/>
                <w:spacing w:val="-2"/>
                <w:sz w:val="18"/>
                <w:szCs w:val="18"/>
                <w:highlight w:val="none"/>
                <w:u w:val="single"/>
              </w:rPr>
              <w:t>本产品设置有多</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份额按照设置的销售对象和销售起点在不同的销售机构销售，各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份额实际收取的销售服务费</w:t>
            </w:r>
            <w:r>
              <w:rPr>
                <w:rFonts w:hint="eastAsia" w:ascii="楷体" w:hAnsi="楷体" w:eastAsia="楷体" w:cs="宋体"/>
                <w:b/>
                <w:bCs/>
                <w:spacing w:val="-2"/>
                <w:sz w:val="18"/>
                <w:szCs w:val="18"/>
                <w:highlight w:val="none"/>
                <w:u w:val="single"/>
                <w:lang w:val="en-US" w:eastAsia="zh-CN"/>
              </w:rPr>
              <w:t>率</w:t>
            </w:r>
            <w:r>
              <w:rPr>
                <w:rFonts w:hint="eastAsia" w:ascii="楷体" w:hAnsi="楷体" w:eastAsia="楷体" w:cs="宋体"/>
                <w:b/>
                <w:bCs/>
                <w:spacing w:val="-2"/>
                <w:sz w:val="18"/>
                <w:szCs w:val="18"/>
                <w:highlight w:val="none"/>
                <w:u w:val="single"/>
              </w:rPr>
              <w:t>、投资管理费</w:t>
            </w:r>
            <w:r>
              <w:rPr>
                <w:rFonts w:hint="eastAsia" w:ascii="楷体" w:hAnsi="楷体" w:eastAsia="楷体" w:cs="宋体"/>
                <w:b/>
                <w:bCs/>
                <w:spacing w:val="-2"/>
                <w:sz w:val="18"/>
                <w:szCs w:val="18"/>
                <w:highlight w:val="none"/>
                <w:u w:val="single"/>
                <w:lang w:val="en-US" w:eastAsia="zh-CN"/>
              </w:rPr>
              <w:t>率</w:t>
            </w:r>
            <w:r>
              <w:rPr>
                <w:rFonts w:hint="eastAsia" w:ascii="楷体" w:hAnsi="楷体" w:eastAsia="楷体" w:cs="宋体"/>
                <w:b/>
                <w:bCs/>
                <w:spacing w:val="-2"/>
                <w:sz w:val="18"/>
                <w:szCs w:val="18"/>
                <w:highlight w:val="none"/>
                <w:u w:val="single"/>
              </w:rPr>
              <w:t>和超额业绩报酬（如有）可能存在差异，投资者应根据各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份额收费情况自主选择购买。</w:t>
            </w:r>
          </w:p>
          <w:p>
            <w:pPr>
              <w:pStyle w:val="15"/>
              <w:keepNext w:val="0"/>
              <w:keepLines w:val="0"/>
              <w:pageBreakBefore w:val="0"/>
              <w:widowControl w:val="0"/>
              <w:kinsoku w:val="0"/>
              <w:wordWrap/>
              <w:overflowPunct w:val="0"/>
              <w:topLinePunct w:val="0"/>
              <w:autoSpaceDE/>
              <w:autoSpaceDN/>
              <w:bidi w:val="0"/>
              <w:snapToGrid w:val="0"/>
              <w:spacing w:line="240" w:lineRule="auto"/>
              <w:ind w:left="22" w:leftChars="10" w:right="22" w:rightChars="10"/>
              <w:jc w:val="both"/>
              <w:textAlignment w:val="auto"/>
              <w:rPr>
                <w:rFonts w:ascii="楷体" w:hAnsi="楷体" w:eastAsia="楷体" w:cs="宋体"/>
                <w:spacing w:val="-2"/>
                <w:sz w:val="18"/>
                <w:szCs w:val="18"/>
                <w:highlight w:val="none"/>
              </w:rPr>
            </w:pPr>
            <w:r>
              <w:rPr>
                <w:rFonts w:hint="eastAsia" w:ascii="楷体" w:hAnsi="楷体" w:eastAsia="楷体" w:cs="宋体"/>
                <w:b/>
                <w:bCs/>
                <w:spacing w:val="-2"/>
                <w:sz w:val="18"/>
                <w:szCs w:val="18"/>
                <w:highlight w:val="none"/>
                <w:u w:val="single"/>
              </w:rPr>
              <w:t>产品存续期内管理人有权根据产品运行情况制定费率优惠措施，优惠后实际执行的费率以管理人公告为准。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15"/>
              <w:keepNext w:val="0"/>
              <w:keepLines w:val="0"/>
              <w:pageBreakBefore w:val="0"/>
              <w:widowControl w:val="0"/>
              <w:kinsoku w:val="0"/>
              <w:wordWrap/>
              <w:overflowPunct w:val="0"/>
              <w:topLinePunct w:val="0"/>
              <w:autoSpaceDE/>
              <w:autoSpaceDN/>
              <w:bidi w:val="0"/>
              <w:adjustRightInd w:val="0"/>
              <w:snapToGrid w:val="0"/>
              <w:ind w:left="22" w:leftChars="10" w:right="22" w:rightChars="10"/>
              <w:jc w:val="both"/>
              <w:textAlignment w:val="auto"/>
              <w:rPr>
                <w:rFonts w:hint="eastAsia" w:ascii="楷体" w:hAnsi="楷体" w:eastAsia="楷体" w:cs="宋体"/>
                <w:b/>
                <w:spacing w:val="-2"/>
                <w:sz w:val="18"/>
                <w:szCs w:val="18"/>
                <w:highlight w:val="none"/>
                <w:lang w:val="en-US" w:eastAsia="zh-CN"/>
              </w:rPr>
            </w:pPr>
            <w:r>
              <w:rPr>
                <w:rFonts w:hint="eastAsia" w:ascii="楷体" w:hAnsi="楷体" w:eastAsia="楷体" w:cs="宋体"/>
                <w:b/>
                <w:spacing w:val="-2"/>
                <w:sz w:val="18"/>
                <w:szCs w:val="18"/>
                <w:highlight w:val="none"/>
              </w:rPr>
              <w:t>收益分配</w:t>
            </w:r>
          </w:p>
        </w:tc>
        <w:tc>
          <w:tcPr>
            <w:tcW w:w="7937" w:type="dxa"/>
            <w:noWrap w:val="0"/>
            <w:vAlign w:val="center"/>
          </w:tcPr>
          <w:p>
            <w:pPr>
              <w:keepNext w:val="0"/>
              <w:keepLines w:val="0"/>
              <w:pageBreakBefore w:val="0"/>
              <w:widowControl w:val="0"/>
              <w:wordWrap/>
              <w:topLinePunct w:val="0"/>
              <w:autoSpaceDE/>
              <w:autoSpaceDN/>
              <w:bidi w:val="0"/>
              <w:snapToGrid w:val="0"/>
              <w:spacing w:line="240" w:lineRule="auto"/>
              <w:ind w:left="22" w:leftChars="10" w:right="22"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本产品无分红机制，投资运作情况体现为产品净值变化。产品投资运作到期，投资收益扣除相关费用后，全部分配给投资者。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15"/>
              <w:keepNext w:val="0"/>
              <w:keepLines w:val="0"/>
              <w:pageBreakBefore w:val="0"/>
              <w:widowControl w:val="0"/>
              <w:kinsoku w:val="0"/>
              <w:wordWrap/>
              <w:overflowPunct w:val="0"/>
              <w:topLinePunct w:val="0"/>
              <w:autoSpaceDE/>
              <w:autoSpaceDN/>
              <w:bidi w:val="0"/>
              <w:adjustRightInd w:val="0"/>
              <w:snapToGrid w:val="0"/>
              <w:ind w:left="22" w:leftChars="10" w:right="22" w:rightChars="10"/>
              <w:jc w:val="both"/>
              <w:textAlignment w:val="auto"/>
              <w:rPr>
                <w:rFonts w:hint="eastAsia" w:ascii="楷体" w:hAnsi="楷体" w:eastAsia="楷体" w:cs="宋体"/>
                <w:b/>
                <w:spacing w:val="-2"/>
                <w:sz w:val="18"/>
                <w:szCs w:val="18"/>
                <w:highlight w:val="none"/>
                <w:lang w:val="en-US" w:eastAsia="zh-CN"/>
              </w:rPr>
            </w:pPr>
            <w:r>
              <w:rPr>
                <w:rFonts w:hint="eastAsia" w:ascii="楷体" w:hAnsi="楷体" w:eastAsia="楷体" w:cs="宋体"/>
                <w:b/>
                <w:spacing w:val="-2"/>
                <w:sz w:val="18"/>
                <w:szCs w:val="18"/>
                <w:highlight w:val="none"/>
              </w:rPr>
              <w:t>税款</w:t>
            </w:r>
          </w:p>
        </w:tc>
        <w:tc>
          <w:tcPr>
            <w:tcW w:w="7937" w:type="dxa"/>
            <w:noWrap w:val="0"/>
            <w:vAlign w:val="center"/>
          </w:tcPr>
          <w:p>
            <w:pPr>
              <w:keepNext w:val="0"/>
              <w:keepLines w:val="0"/>
              <w:pageBreakBefore w:val="0"/>
              <w:widowControl w:val="0"/>
              <w:wordWrap/>
              <w:topLinePunct w:val="0"/>
              <w:autoSpaceDE/>
              <w:autoSpaceDN/>
              <w:bidi w:val="0"/>
              <w:snapToGrid w:val="0"/>
              <w:spacing w:line="240" w:lineRule="auto"/>
              <w:ind w:left="22" w:leftChars="10" w:right="22"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color w:val="auto"/>
                <w:spacing w:val="-2"/>
                <w:sz w:val="18"/>
                <w:szCs w:val="18"/>
                <w:highlight w:val="none"/>
              </w:rPr>
              <w:t>根据中国增值税等税收相关法律法规、税收政策等要求，产品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宋体"/>
                <w:b/>
                <w:bCs/>
                <w:color w:val="auto"/>
                <w:spacing w:val="-2"/>
                <w:sz w:val="18"/>
                <w:szCs w:val="18"/>
                <w:highlight w:val="none"/>
                <w:u w:val="single"/>
              </w:rPr>
              <w:t>投资者从理财产品取得的收益应缴纳的税款，由投资者自行申报及缴纳。</w:t>
            </w:r>
          </w:p>
        </w:tc>
      </w:tr>
    </w:tbl>
    <w:p>
      <w:pPr>
        <w:adjustRightInd/>
        <w:snapToGrid/>
        <w:spacing w:after="0"/>
        <w:ind w:firstLine="630"/>
        <w:jc w:val="center"/>
        <w:rPr>
          <w:rFonts w:ascii="仿宋_GB2312" w:hAnsi="微软雅黑" w:eastAsia="仿宋_GB2312" w:cs="宋体"/>
          <w:color w:val="FF0000"/>
          <w:sz w:val="32"/>
          <w:szCs w:val="32"/>
        </w:rPr>
      </w:pPr>
      <w:r>
        <w:rPr>
          <w:rFonts w:hint="eastAsia" w:ascii="仿宋_GB2312" w:hAnsi="微软雅黑" w:eastAsia="仿宋_GB2312" w:cs="宋体"/>
          <w:color w:val="FF0000"/>
          <w:sz w:val="32"/>
          <w:szCs w:val="32"/>
        </w:rPr>
        <w:t>（更多具体要素请详阅产品说明书）</w:t>
      </w:r>
    </w:p>
    <w:p>
      <w:pPr>
        <w:adjustRightInd/>
        <w:snapToGrid/>
        <w:spacing w:after="0"/>
        <w:ind w:firstLine="640" w:firstLineChars="200"/>
        <w:rPr>
          <w:rFonts w:ascii="仿宋_GB2312" w:hAnsi="微软雅黑" w:eastAsia="仿宋_GB2312" w:cs="宋体"/>
          <w:color w:val="000000"/>
          <w:sz w:val="32"/>
          <w:szCs w:val="32"/>
        </w:rPr>
      </w:pPr>
      <w:r>
        <w:rPr>
          <w:rFonts w:hint="eastAsia" w:ascii="仿宋_GB2312" w:hAnsi="微软雅黑" w:eastAsia="仿宋_GB2312" w:cs="宋体"/>
          <w:color w:val="000000"/>
          <w:sz w:val="32"/>
          <w:szCs w:val="32"/>
        </w:rPr>
        <w:t>注意事项：</w:t>
      </w:r>
    </w:p>
    <w:p>
      <w:pPr>
        <w:adjustRightInd/>
        <w:snapToGrid/>
        <w:spacing w:after="0"/>
        <w:ind w:firstLine="640" w:firstLineChars="200"/>
        <w:rPr>
          <w:rFonts w:ascii="微软雅黑" w:hAnsi="微软雅黑" w:cs="宋体"/>
          <w:color w:val="000000"/>
          <w:sz w:val="30"/>
          <w:szCs w:val="30"/>
        </w:rPr>
      </w:pPr>
      <w:r>
        <w:rPr>
          <w:rFonts w:hint="eastAsia" w:ascii="仿宋_GB2312" w:hAnsi="微软雅黑" w:eastAsia="仿宋_GB2312" w:cs="宋体"/>
          <w:color w:val="000000"/>
          <w:sz w:val="32"/>
          <w:szCs w:val="32"/>
        </w:rPr>
        <w:t>1.该产品销售要求参照我行</w:t>
      </w:r>
      <w:bookmarkStart w:id="0" w:name="_GoBack"/>
      <w:bookmarkEnd w:id="0"/>
      <w:r>
        <w:rPr>
          <w:rFonts w:hint="eastAsia" w:ascii="仿宋_GB2312" w:hAnsi="微软雅黑" w:eastAsia="仿宋_GB2312" w:cs="宋体"/>
          <w:color w:val="000000"/>
          <w:sz w:val="32"/>
          <w:szCs w:val="32"/>
        </w:rPr>
        <w:t>理财销售相关规定执行。</w:t>
      </w:r>
    </w:p>
    <w:p>
      <w:pPr>
        <w:adjustRightInd/>
        <w:snapToGrid/>
        <w:spacing w:after="0"/>
        <w:ind w:firstLine="640" w:firstLineChars="200"/>
        <w:rPr>
          <w:rFonts w:ascii="仿宋_GB2312" w:hAnsi="微软雅黑" w:eastAsia="仿宋_GB2312" w:cs="宋体"/>
          <w:color w:val="000000"/>
          <w:sz w:val="32"/>
          <w:szCs w:val="32"/>
        </w:rPr>
      </w:pPr>
      <w:r>
        <w:rPr>
          <w:rFonts w:hint="eastAsia" w:ascii="仿宋_GB2312" w:hAnsi="微软雅黑" w:eastAsia="仿宋_GB2312" w:cs="宋体"/>
          <w:color w:val="000000"/>
          <w:sz w:val="32"/>
          <w:szCs w:val="32"/>
        </w:rPr>
        <w:t>2.相关产品销售文件见附件。</w:t>
      </w:r>
    </w:p>
    <w:p>
      <w:pPr>
        <w:adjustRightInd/>
        <w:snapToGrid/>
        <w:spacing w:after="0"/>
        <w:ind w:firstLine="640" w:firstLineChars="200"/>
        <w:rPr>
          <w:rFonts w:ascii="仿宋_GB2312" w:hAnsi="微软雅黑" w:eastAsia="仿宋_GB2312" w:cs="宋体"/>
          <w:color w:val="000000"/>
          <w:sz w:val="32"/>
          <w:szCs w:val="32"/>
        </w:rPr>
      </w:pPr>
      <w:r>
        <w:rPr>
          <w:rFonts w:hint="eastAsia" w:ascii="仿宋_GB2312" w:hAnsi="微软雅黑" w:eastAsia="仿宋_GB2312" w:cs="宋体"/>
          <w:color w:val="000000"/>
          <w:sz w:val="32"/>
          <w:szCs w:val="32"/>
        </w:rPr>
        <w:t>3.如有其他未尽事宜以私人银行部解释为准。</w:t>
      </w:r>
    </w:p>
    <w:p>
      <w:pPr>
        <w:adjustRightInd/>
        <w:snapToGrid/>
        <w:spacing w:after="0"/>
        <w:rPr>
          <w:rFonts w:ascii="微软雅黑" w:hAnsi="微软雅黑" w:cs="宋体"/>
          <w:color w:val="000000"/>
          <w:sz w:val="30"/>
          <w:szCs w:val="30"/>
        </w:rPr>
      </w:pPr>
    </w:p>
    <w:p>
      <w:pPr>
        <w:adjustRightInd/>
        <w:snapToGrid/>
        <w:spacing w:after="0"/>
        <w:ind w:firstLine="640" w:firstLineChars="200"/>
        <w:rPr>
          <w:rFonts w:ascii="仿宋_GB2312" w:hAnsi="微软雅黑" w:eastAsia="仿宋_GB2312" w:cs="宋体"/>
          <w:color w:val="000000"/>
          <w:sz w:val="32"/>
          <w:szCs w:val="32"/>
        </w:rPr>
      </w:pPr>
      <w:r>
        <w:rPr>
          <w:rFonts w:hint="eastAsia" w:ascii="仿宋_GB2312" w:hAnsi="微软雅黑" w:eastAsia="仿宋_GB2312" w:cs="宋体"/>
          <w:color w:val="000000"/>
          <w:sz w:val="32"/>
          <w:szCs w:val="32"/>
        </w:rPr>
        <w:t>附件：1.“</w:t>
      </w:r>
      <w:r>
        <w:rPr>
          <w:rFonts w:hint="eastAsia" w:ascii="仿宋_GB2312" w:hAnsi="微软雅黑" w:eastAsia="仿宋_GB2312" w:cs="宋体"/>
          <w:color w:val="000000"/>
          <w:sz w:val="32"/>
          <w:szCs w:val="32"/>
          <w:lang w:eastAsia="zh-CN"/>
        </w:rPr>
        <w:t>苏银理财恒源最短持有90天</w:t>
      </w:r>
      <w:r>
        <w:rPr>
          <w:rFonts w:hint="eastAsia" w:ascii="仿宋_GB2312" w:hAnsi="微软雅黑" w:eastAsia="仿宋_GB2312" w:cs="宋体"/>
          <w:color w:val="000000"/>
          <w:sz w:val="32"/>
          <w:szCs w:val="32"/>
        </w:rPr>
        <w:t>”理财产品说明书</w:t>
      </w:r>
    </w:p>
    <w:p>
      <w:pPr>
        <w:adjustRightInd/>
        <w:snapToGrid/>
        <w:spacing w:after="0"/>
        <w:ind w:firstLine="1600" w:firstLineChars="500"/>
        <w:rPr>
          <w:rFonts w:ascii="仿宋_GB2312" w:hAnsi="微软雅黑" w:eastAsia="仿宋_GB2312" w:cs="宋体"/>
          <w:color w:val="000000"/>
          <w:sz w:val="32"/>
          <w:szCs w:val="32"/>
        </w:rPr>
      </w:pPr>
      <w:r>
        <w:rPr>
          <w:rFonts w:hint="eastAsia" w:ascii="仿宋_GB2312" w:hAnsi="微软雅黑" w:eastAsia="仿宋_GB2312" w:cs="宋体"/>
          <w:color w:val="000000"/>
          <w:sz w:val="32"/>
          <w:szCs w:val="32"/>
        </w:rPr>
        <w:t>2. 理财产品(代理)销售协议书、苏银理财有限责任公司理财产品投资协议书</w:t>
      </w:r>
    </w:p>
    <w:p>
      <w:pPr>
        <w:adjustRightInd/>
        <w:snapToGrid/>
        <w:spacing w:after="0"/>
        <w:ind w:firstLine="1600" w:firstLineChars="500"/>
        <w:rPr>
          <w:rFonts w:ascii="仿宋_GB2312" w:hAnsi="微软雅黑" w:eastAsia="仿宋_GB2312" w:cs="宋体"/>
          <w:color w:val="000000"/>
          <w:sz w:val="32"/>
          <w:szCs w:val="32"/>
        </w:rPr>
      </w:pPr>
      <w:r>
        <w:rPr>
          <w:rFonts w:hint="eastAsia" w:ascii="仿宋_GB2312" w:hAnsi="微软雅黑" w:eastAsia="仿宋_GB2312" w:cs="宋体"/>
          <w:color w:val="000000"/>
          <w:sz w:val="32"/>
          <w:szCs w:val="32"/>
        </w:rPr>
        <w:t>3.“</w:t>
      </w:r>
      <w:r>
        <w:rPr>
          <w:rFonts w:hint="eastAsia" w:ascii="仿宋_GB2312" w:hAnsi="微软雅黑" w:eastAsia="仿宋_GB2312" w:cs="宋体"/>
          <w:color w:val="000000"/>
          <w:sz w:val="32"/>
          <w:szCs w:val="32"/>
          <w:lang w:eastAsia="zh-CN"/>
        </w:rPr>
        <w:t>苏银理财恒源最短持有90天</w:t>
      </w:r>
      <w:r>
        <w:rPr>
          <w:rFonts w:hint="eastAsia" w:ascii="仿宋_GB2312" w:hAnsi="微软雅黑" w:eastAsia="仿宋_GB2312" w:cs="宋体"/>
          <w:color w:val="000000"/>
          <w:sz w:val="32"/>
          <w:szCs w:val="32"/>
        </w:rPr>
        <w:t>”理财产品风险揭示书</w:t>
      </w:r>
    </w:p>
    <w:p>
      <w:pPr>
        <w:adjustRightInd/>
        <w:snapToGrid/>
        <w:spacing w:after="0"/>
        <w:ind w:firstLine="1600" w:firstLineChars="500"/>
        <w:rPr>
          <w:rFonts w:ascii="仿宋_GB2312" w:hAnsi="微软雅黑" w:eastAsia="仿宋_GB2312" w:cs="宋体"/>
          <w:color w:val="000000"/>
          <w:sz w:val="32"/>
          <w:szCs w:val="32"/>
        </w:rPr>
      </w:pPr>
      <w:r>
        <w:rPr>
          <w:rFonts w:hint="eastAsia" w:ascii="仿宋_GB2312" w:hAnsi="微软雅黑" w:eastAsia="仿宋_GB2312" w:cs="宋体"/>
          <w:color w:val="000000"/>
          <w:sz w:val="32"/>
          <w:szCs w:val="32"/>
        </w:rPr>
        <w:t>4.苏银理财有限责任公司投资者权益须知</w:t>
      </w:r>
    </w:p>
    <w:p>
      <w:pPr>
        <w:adjustRightInd/>
        <w:snapToGrid/>
        <w:spacing w:after="0"/>
        <w:ind w:firstLine="1600" w:firstLineChars="500"/>
        <w:rPr>
          <w:rFonts w:ascii="仿宋_GB2312" w:hAnsi="微软雅黑" w:eastAsia="仿宋_GB2312" w:cs="宋体"/>
          <w:color w:val="000000"/>
          <w:sz w:val="32"/>
          <w:szCs w:val="32"/>
        </w:rPr>
      </w:pPr>
      <w:r>
        <w:rPr>
          <w:rFonts w:hint="eastAsia" w:ascii="仿宋_GB2312" w:hAnsi="微软雅黑" w:eastAsia="仿宋_GB2312" w:cs="宋体"/>
          <w:color w:val="000000"/>
          <w:sz w:val="32"/>
          <w:szCs w:val="32"/>
        </w:rPr>
        <w:t>5. 个人客户风险承受能力评估表</w:t>
      </w:r>
    </w:p>
    <w:p>
      <w:pPr>
        <w:adjustRightInd/>
        <w:snapToGrid/>
        <w:spacing w:after="0"/>
        <w:ind w:firstLine="1600" w:firstLineChars="500"/>
        <w:rPr>
          <w:rFonts w:ascii="仿宋_GB2312" w:hAnsi="微软雅黑" w:eastAsia="仿宋_GB2312" w:cs="宋体"/>
          <w:color w:val="000000"/>
          <w:sz w:val="32"/>
          <w:szCs w:val="32"/>
        </w:rPr>
      </w:pPr>
      <w:r>
        <w:rPr>
          <w:rFonts w:hint="eastAsia" w:ascii="仿宋_GB2312" w:hAnsi="微软雅黑" w:eastAsia="仿宋_GB2312" w:cs="宋体"/>
          <w:color w:val="000000"/>
          <w:sz w:val="32"/>
          <w:szCs w:val="32"/>
        </w:rPr>
        <w:t>6. 机构客户风险承受能力评估表</w:t>
      </w:r>
    </w:p>
    <w:p>
      <w:pPr>
        <w:adjustRightInd/>
        <w:snapToGrid/>
        <w:spacing w:after="0"/>
        <w:ind w:firstLine="645"/>
        <w:rPr>
          <w:rFonts w:ascii="微软雅黑" w:hAnsi="微软雅黑" w:cs="宋体"/>
          <w:color w:val="000000"/>
          <w:sz w:val="30"/>
          <w:szCs w:val="30"/>
        </w:rPr>
      </w:pPr>
    </w:p>
    <w:p>
      <w:pPr>
        <w:adjustRightInd/>
        <w:snapToGrid/>
        <w:spacing w:after="0"/>
        <w:ind w:firstLine="5760"/>
        <w:rPr>
          <w:rFonts w:ascii="仿宋_GB2312" w:hAnsi="微软雅黑" w:eastAsia="仿宋_GB2312" w:cs="宋体"/>
          <w:color w:val="000000"/>
          <w:sz w:val="32"/>
          <w:szCs w:val="32"/>
        </w:rPr>
      </w:pPr>
    </w:p>
    <w:p>
      <w:pPr>
        <w:adjustRightInd/>
        <w:snapToGrid/>
        <w:spacing w:after="0"/>
        <w:ind w:firstLine="5760"/>
        <w:rPr>
          <w:rFonts w:ascii="仿宋_GB2312" w:hAnsi="微软雅黑" w:eastAsia="仿宋_GB2312" w:cs="宋体"/>
          <w:color w:val="000000"/>
          <w:sz w:val="32"/>
          <w:szCs w:val="32"/>
        </w:rPr>
      </w:pPr>
    </w:p>
    <w:p>
      <w:pPr>
        <w:adjustRightInd/>
        <w:snapToGrid/>
        <w:spacing w:after="0"/>
        <w:ind w:firstLine="5760"/>
        <w:rPr>
          <w:rFonts w:ascii="微软雅黑" w:hAnsi="微软雅黑" w:cs="宋体"/>
          <w:color w:val="000000"/>
          <w:sz w:val="30"/>
          <w:szCs w:val="30"/>
        </w:rPr>
      </w:pPr>
      <w:r>
        <w:rPr>
          <w:rFonts w:hint="eastAsia" w:ascii="仿宋_GB2312" w:hAnsi="微软雅黑" w:eastAsia="仿宋_GB2312" w:cs="宋体"/>
          <w:color w:val="000000"/>
          <w:sz w:val="32"/>
          <w:szCs w:val="32"/>
        </w:rPr>
        <w:t>私人银行部</w:t>
      </w:r>
    </w:p>
    <w:p>
      <w:pPr>
        <w:adjustRightInd/>
        <w:snapToGrid/>
        <w:spacing w:after="0"/>
        <w:ind w:firstLine="5445"/>
      </w:pPr>
      <w:r>
        <w:rPr>
          <w:rFonts w:hint="eastAsia" w:ascii="仿宋_GB2312" w:hAnsi="微软雅黑" w:eastAsia="仿宋_GB2312" w:cs="宋体"/>
          <w:color w:val="000000"/>
          <w:sz w:val="32"/>
          <w:szCs w:val="32"/>
        </w:rPr>
        <w:t>2025年</w:t>
      </w:r>
      <w:r>
        <w:rPr>
          <w:rFonts w:hint="eastAsia" w:ascii="仿宋_GB2312" w:hAnsi="微软雅黑" w:eastAsia="仿宋_GB2312" w:cs="宋体"/>
          <w:color w:val="000000"/>
          <w:sz w:val="32"/>
          <w:szCs w:val="32"/>
          <w:lang w:val="en-US" w:eastAsia="zh-CN"/>
        </w:rPr>
        <w:t>9</w:t>
      </w:r>
      <w:r>
        <w:rPr>
          <w:rFonts w:hint="eastAsia" w:ascii="仿宋_GB2312" w:hAnsi="微软雅黑" w:eastAsia="仿宋_GB2312" w:cs="宋体"/>
          <w:color w:val="000000"/>
          <w:sz w:val="32"/>
          <w:szCs w:val="32"/>
        </w:rPr>
        <w:t>月</w:t>
      </w:r>
      <w:r>
        <w:rPr>
          <w:rFonts w:hint="eastAsia" w:ascii="仿宋_GB2312" w:hAnsi="微软雅黑" w:eastAsia="仿宋_GB2312" w:cs="宋体"/>
          <w:color w:val="000000"/>
          <w:sz w:val="32"/>
          <w:szCs w:val="32"/>
          <w:lang w:val="en-US" w:eastAsia="zh-CN"/>
        </w:rPr>
        <w:t>5</w:t>
      </w:r>
      <w:r>
        <w:rPr>
          <w:rFonts w:hint="eastAsia" w:ascii="仿宋_GB2312" w:hAnsi="微软雅黑" w:eastAsia="仿宋_GB2312" w:cs="宋体"/>
          <w:color w:val="000000"/>
          <w:sz w:val="32"/>
          <w:szCs w:val="32"/>
        </w:rPr>
        <w:t>日</w:t>
      </w: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2"/>
  </w:compat>
  <w:rsids>
    <w:rsidRoot w:val="00D31D50"/>
    <w:rsid w:val="00002A13"/>
    <w:rsid w:val="00014D89"/>
    <w:rsid w:val="0002233E"/>
    <w:rsid w:val="00025736"/>
    <w:rsid w:val="00030E86"/>
    <w:rsid w:val="00036368"/>
    <w:rsid w:val="0003731F"/>
    <w:rsid w:val="000430CA"/>
    <w:rsid w:val="00050465"/>
    <w:rsid w:val="000547BB"/>
    <w:rsid w:val="000618D3"/>
    <w:rsid w:val="0006322B"/>
    <w:rsid w:val="0006327A"/>
    <w:rsid w:val="000729EB"/>
    <w:rsid w:val="00074AD2"/>
    <w:rsid w:val="000812F4"/>
    <w:rsid w:val="000910E1"/>
    <w:rsid w:val="000936F7"/>
    <w:rsid w:val="00095294"/>
    <w:rsid w:val="000957AC"/>
    <w:rsid w:val="000A5028"/>
    <w:rsid w:val="000A7695"/>
    <w:rsid w:val="000B5C2A"/>
    <w:rsid w:val="000D30E3"/>
    <w:rsid w:val="000D3348"/>
    <w:rsid w:val="000E18A2"/>
    <w:rsid w:val="000E1FA9"/>
    <w:rsid w:val="000E7543"/>
    <w:rsid w:val="000F4049"/>
    <w:rsid w:val="0010440D"/>
    <w:rsid w:val="00110B5C"/>
    <w:rsid w:val="0011188B"/>
    <w:rsid w:val="00113224"/>
    <w:rsid w:val="001157D7"/>
    <w:rsid w:val="001225F8"/>
    <w:rsid w:val="00134BE7"/>
    <w:rsid w:val="0014766F"/>
    <w:rsid w:val="00152D94"/>
    <w:rsid w:val="00156217"/>
    <w:rsid w:val="00157799"/>
    <w:rsid w:val="0016069B"/>
    <w:rsid w:val="00160908"/>
    <w:rsid w:val="00170032"/>
    <w:rsid w:val="00174CF3"/>
    <w:rsid w:val="00174FC8"/>
    <w:rsid w:val="001810F6"/>
    <w:rsid w:val="00182785"/>
    <w:rsid w:val="001834DB"/>
    <w:rsid w:val="00190048"/>
    <w:rsid w:val="00194C32"/>
    <w:rsid w:val="00196E1B"/>
    <w:rsid w:val="001A32AD"/>
    <w:rsid w:val="001A556D"/>
    <w:rsid w:val="001B2273"/>
    <w:rsid w:val="001B26D8"/>
    <w:rsid w:val="001D3092"/>
    <w:rsid w:val="001D40A6"/>
    <w:rsid w:val="001F3153"/>
    <w:rsid w:val="001F72B5"/>
    <w:rsid w:val="00201E20"/>
    <w:rsid w:val="00206F8F"/>
    <w:rsid w:val="00207F97"/>
    <w:rsid w:val="00214CF7"/>
    <w:rsid w:val="00216E71"/>
    <w:rsid w:val="002235BC"/>
    <w:rsid w:val="00233CED"/>
    <w:rsid w:val="00236FDA"/>
    <w:rsid w:val="00244EE2"/>
    <w:rsid w:val="002463C9"/>
    <w:rsid w:val="002513BD"/>
    <w:rsid w:val="00257856"/>
    <w:rsid w:val="00277323"/>
    <w:rsid w:val="002777A1"/>
    <w:rsid w:val="00283408"/>
    <w:rsid w:val="0028525D"/>
    <w:rsid w:val="002866F6"/>
    <w:rsid w:val="0029028F"/>
    <w:rsid w:val="002A2C83"/>
    <w:rsid w:val="002A3E43"/>
    <w:rsid w:val="002B1948"/>
    <w:rsid w:val="002B6618"/>
    <w:rsid w:val="002C122F"/>
    <w:rsid w:val="002C248B"/>
    <w:rsid w:val="002C70E5"/>
    <w:rsid w:val="002D757D"/>
    <w:rsid w:val="002D7671"/>
    <w:rsid w:val="002E2A41"/>
    <w:rsid w:val="002E3ECB"/>
    <w:rsid w:val="002E7145"/>
    <w:rsid w:val="002F00B3"/>
    <w:rsid w:val="002F02FE"/>
    <w:rsid w:val="002F07C0"/>
    <w:rsid w:val="003059D5"/>
    <w:rsid w:val="00307AFA"/>
    <w:rsid w:val="00320D56"/>
    <w:rsid w:val="00322F4C"/>
    <w:rsid w:val="00323B43"/>
    <w:rsid w:val="00335FBE"/>
    <w:rsid w:val="003447B3"/>
    <w:rsid w:val="00347193"/>
    <w:rsid w:val="003476A4"/>
    <w:rsid w:val="00353BA9"/>
    <w:rsid w:val="00355E21"/>
    <w:rsid w:val="00357EB7"/>
    <w:rsid w:val="00361A72"/>
    <w:rsid w:val="00363805"/>
    <w:rsid w:val="00374AE2"/>
    <w:rsid w:val="00386CE1"/>
    <w:rsid w:val="00393219"/>
    <w:rsid w:val="003936A4"/>
    <w:rsid w:val="003936B9"/>
    <w:rsid w:val="003A15E6"/>
    <w:rsid w:val="003C0D6B"/>
    <w:rsid w:val="003C1D41"/>
    <w:rsid w:val="003C2C03"/>
    <w:rsid w:val="003D37D8"/>
    <w:rsid w:val="003D4715"/>
    <w:rsid w:val="003D710A"/>
    <w:rsid w:val="003E2BFC"/>
    <w:rsid w:val="003E5A9F"/>
    <w:rsid w:val="003F70AB"/>
    <w:rsid w:val="00410A33"/>
    <w:rsid w:val="00422AD1"/>
    <w:rsid w:val="00424A38"/>
    <w:rsid w:val="00426133"/>
    <w:rsid w:val="004349C0"/>
    <w:rsid w:val="004358AB"/>
    <w:rsid w:val="00443E90"/>
    <w:rsid w:val="00450005"/>
    <w:rsid w:val="00450C77"/>
    <w:rsid w:val="0045680A"/>
    <w:rsid w:val="00463028"/>
    <w:rsid w:val="00471A3B"/>
    <w:rsid w:val="004749F0"/>
    <w:rsid w:val="00476C3B"/>
    <w:rsid w:val="0047785F"/>
    <w:rsid w:val="0049140E"/>
    <w:rsid w:val="00496E4F"/>
    <w:rsid w:val="004B4CFA"/>
    <w:rsid w:val="004C175A"/>
    <w:rsid w:val="004C7CF2"/>
    <w:rsid w:val="004F0CCD"/>
    <w:rsid w:val="00510995"/>
    <w:rsid w:val="005168C5"/>
    <w:rsid w:val="005218F6"/>
    <w:rsid w:val="00523BDD"/>
    <w:rsid w:val="0052515C"/>
    <w:rsid w:val="00530F2D"/>
    <w:rsid w:val="0053663D"/>
    <w:rsid w:val="00536DF2"/>
    <w:rsid w:val="00537BF8"/>
    <w:rsid w:val="00540DC7"/>
    <w:rsid w:val="00543584"/>
    <w:rsid w:val="00543782"/>
    <w:rsid w:val="0055369F"/>
    <w:rsid w:val="0055709E"/>
    <w:rsid w:val="00566993"/>
    <w:rsid w:val="00566C07"/>
    <w:rsid w:val="00570005"/>
    <w:rsid w:val="005873AF"/>
    <w:rsid w:val="005A6CFB"/>
    <w:rsid w:val="005A7A21"/>
    <w:rsid w:val="005B1774"/>
    <w:rsid w:val="005B45CF"/>
    <w:rsid w:val="005B496B"/>
    <w:rsid w:val="005C0D21"/>
    <w:rsid w:val="005C155D"/>
    <w:rsid w:val="005C31E9"/>
    <w:rsid w:val="005C4206"/>
    <w:rsid w:val="005C5781"/>
    <w:rsid w:val="005D072F"/>
    <w:rsid w:val="005D0DEE"/>
    <w:rsid w:val="005F2B78"/>
    <w:rsid w:val="00606205"/>
    <w:rsid w:val="00607358"/>
    <w:rsid w:val="00607EC0"/>
    <w:rsid w:val="00610019"/>
    <w:rsid w:val="006110FC"/>
    <w:rsid w:val="00611544"/>
    <w:rsid w:val="006128D5"/>
    <w:rsid w:val="006148C9"/>
    <w:rsid w:val="0061606F"/>
    <w:rsid w:val="00620A17"/>
    <w:rsid w:val="006214F4"/>
    <w:rsid w:val="006648D9"/>
    <w:rsid w:val="00677D5A"/>
    <w:rsid w:val="006919F0"/>
    <w:rsid w:val="006A1D72"/>
    <w:rsid w:val="006A48A0"/>
    <w:rsid w:val="006C44CC"/>
    <w:rsid w:val="006E08D8"/>
    <w:rsid w:val="006F04BE"/>
    <w:rsid w:val="006F7856"/>
    <w:rsid w:val="00701C74"/>
    <w:rsid w:val="0070239F"/>
    <w:rsid w:val="00702508"/>
    <w:rsid w:val="007121C4"/>
    <w:rsid w:val="00714B02"/>
    <w:rsid w:val="007248B8"/>
    <w:rsid w:val="00727337"/>
    <w:rsid w:val="0073205A"/>
    <w:rsid w:val="00732B85"/>
    <w:rsid w:val="00740E8C"/>
    <w:rsid w:val="00741563"/>
    <w:rsid w:val="007471D4"/>
    <w:rsid w:val="00747E0A"/>
    <w:rsid w:val="00750298"/>
    <w:rsid w:val="00761130"/>
    <w:rsid w:val="007673F5"/>
    <w:rsid w:val="007675CD"/>
    <w:rsid w:val="007745AD"/>
    <w:rsid w:val="00776067"/>
    <w:rsid w:val="00783419"/>
    <w:rsid w:val="00785657"/>
    <w:rsid w:val="007865C9"/>
    <w:rsid w:val="007873F2"/>
    <w:rsid w:val="00793A91"/>
    <w:rsid w:val="00796629"/>
    <w:rsid w:val="007A6260"/>
    <w:rsid w:val="007C416B"/>
    <w:rsid w:val="007C44C4"/>
    <w:rsid w:val="007D0528"/>
    <w:rsid w:val="007D35F2"/>
    <w:rsid w:val="007D3BB9"/>
    <w:rsid w:val="007D6855"/>
    <w:rsid w:val="00817F98"/>
    <w:rsid w:val="008201C5"/>
    <w:rsid w:val="00827FB9"/>
    <w:rsid w:val="008445DB"/>
    <w:rsid w:val="008450A8"/>
    <w:rsid w:val="008507C0"/>
    <w:rsid w:val="0085497C"/>
    <w:rsid w:val="00854BCB"/>
    <w:rsid w:val="0086092D"/>
    <w:rsid w:val="00862981"/>
    <w:rsid w:val="00867E9B"/>
    <w:rsid w:val="00884835"/>
    <w:rsid w:val="008930CD"/>
    <w:rsid w:val="00893277"/>
    <w:rsid w:val="00894AA0"/>
    <w:rsid w:val="00895EEF"/>
    <w:rsid w:val="00896D1C"/>
    <w:rsid w:val="008972C8"/>
    <w:rsid w:val="00897920"/>
    <w:rsid w:val="008A6AC1"/>
    <w:rsid w:val="008B008A"/>
    <w:rsid w:val="008B4334"/>
    <w:rsid w:val="008B450C"/>
    <w:rsid w:val="008B4E39"/>
    <w:rsid w:val="008B6523"/>
    <w:rsid w:val="008B7726"/>
    <w:rsid w:val="008C49E6"/>
    <w:rsid w:val="008D4402"/>
    <w:rsid w:val="008F2B7A"/>
    <w:rsid w:val="008F3B9E"/>
    <w:rsid w:val="008F7CA5"/>
    <w:rsid w:val="00903E35"/>
    <w:rsid w:val="00906053"/>
    <w:rsid w:val="00911DE1"/>
    <w:rsid w:val="00916AFD"/>
    <w:rsid w:val="0094064E"/>
    <w:rsid w:val="00951BFC"/>
    <w:rsid w:val="00953E58"/>
    <w:rsid w:val="00954AA4"/>
    <w:rsid w:val="0096633A"/>
    <w:rsid w:val="0096677C"/>
    <w:rsid w:val="00971266"/>
    <w:rsid w:val="00975280"/>
    <w:rsid w:val="00986A17"/>
    <w:rsid w:val="00986ED0"/>
    <w:rsid w:val="00996AC4"/>
    <w:rsid w:val="009A057A"/>
    <w:rsid w:val="009A5FF7"/>
    <w:rsid w:val="009A6871"/>
    <w:rsid w:val="009B21F1"/>
    <w:rsid w:val="009B2786"/>
    <w:rsid w:val="009B2C38"/>
    <w:rsid w:val="009D1D85"/>
    <w:rsid w:val="009D5A75"/>
    <w:rsid w:val="009E16F2"/>
    <w:rsid w:val="009E18E4"/>
    <w:rsid w:val="009F7C7A"/>
    <w:rsid w:val="00A01DF4"/>
    <w:rsid w:val="00A215C9"/>
    <w:rsid w:val="00A30CF8"/>
    <w:rsid w:val="00A4169B"/>
    <w:rsid w:val="00A54155"/>
    <w:rsid w:val="00A65280"/>
    <w:rsid w:val="00A6775F"/>
    <w:rsid w:val="00A7707D"/>
    <w:rsid w:val="00A838DC"/>
    <w:rsid w:val="00A84AE0"/>
    <w:rsid w:val="00A90D0C"/>
    <w:rsid w:val="00A9135E"/>
    <w:rsid w:val="00A9294C"/>
    <w:rsid w:val="00AA23FA"/>
    <w:rsid w:val="00AB14BA"/>
    <w:rsid w:val="00AB4B2F"/>
    <w:rsid w:val="00AB6BA4"/>
    <w:rsid w:val="00AC33B2"/>
    <w:rsid w:val="00AC6774"/>
    <w:rsid w:val="00AD4C9C"/>
    <w:rsid w:val="00AE0AF2"/>
    <w:rsid w:val="00AE42D4"/>
    <w:rsid w:val="00AE6487"/>
    <w:rsid w:val="00B01B88"/>
    <w:rsid w:val="00B02F94"/>
    <w:rsid w:val="00B126A7"/>
    <w:rsid w:val="00B13B8C"/>
    <w:rsid w:val="00B17CEE"/>
    <w:rsid w:val="00B20784"/>
    <w:rsid w:val="00B21220"/>
    <w:rsid w:val="00B22801"/>
    <w:rsid w:val="00B24A4C"/>
    <w:rsid w:val="00B252B4"/>
    <w:rsid w:val="00B27E33"/>
    <w:rsid w:val="00B305FC"/>
    <w:rsid w:val="00B33E38"/>
    <w:rsid w:val="00B4326E"/>
    <w:rsid w:val="00B73A10"/>
    <w:rsid w:val="00B86723"/>
    <w:rsid w:val="00B941A3"/>
    <w:rsid w:val="00B941AB"/>
    <w:rsid w:val="00B974A9"/>
    <w:rsid w:val="00BA2412"/>
    <w:rsid w:val="00BA7C4A"/>
    <w:rsid w:val="00BB0278"/>
    <w:rsid w:val="00BB554B"/>
    <w:rsid w:val="00BF73F3"/>
    <w:rsid w:val="00C00041"/>
    <w:rsid w:val="00C0423C"/>
    <w:rsid w:val="00C07A9F"/>
    <w:rsid w:val="00C15704"/>
    <w:rsid w:val="00C17395"/>
    <w:rsid w:val="00C23A87"/>
    <w:rsid w:val="00C344A1"/>
    <w:rsid w:val="00C468C3"/>
    <w:rsid w:val="00C50931"/>
    <w:rsid w:val="00C60359"/>
    <w:rsid w:val="00C61324"/>
    <w:rsid w:val="00C63EDB"/>
    <w:rsid w:val="00C66A8C"/>
    <w:rsid w:val="00C71423"/>
    <w:rsid w:val="00C77D66"/>
    <w:rsid w:val="00C849D4"/>
    <w:rsid w:val="00C858B2"/>
    <w:rsid w:val="00CA5843"/>
    <w:rsid w:val="00CA70DD"/>
    <w:rsid w:val="00CB16FF"/>
    <w:rsid w:val="00CB29BA"/>
    <w:rsid w:val="00CB2A01"/>
    <w:rsid w:val="00CB39C9"/>
    <w:rsid w:val="00CD21BA"/>
    <w:rsid w:val="00CD328F"/>
    <w:rsid w:val="00CD4295"/>
    <w:rsid w:val="00CD4F0F"/>
    <w:rsid w:val="00CD5295"/>
    <w:rsid w:val="00CD74BD"/>
    <w:rsid w:val="00CE0BFB"/>
    <w:rsid w:val="00CE0C36"/>
    <w:rsid w:val="00CE2CE5"/>
    <w:rsid w:val="00CF5224"/>
    <w:rsid w:val="00D0319E"/>
    <w:rsid w:val="00D10241"/>
    <w:rsid w:val="00D11BD4"/>
    <w:rsid w:val="00D30D95"/>
    <w:rsid w:val="00D31D50"/>
    <w:rsid w:val="00D33751"/>
    <w:rsid w:val="00D34922"/>
    <w:rsid w:val="00D35072"/>
    <w:rsid w:val="00D3536D"/>
    <w:rsid w:val="00D37D23"/>
    <w:rsid w:val="00D42DFD"/>
    <w:rsid w:val="00D4593C"/>
    <w:rsid w:val="00D476F9"/>
    <w:rsid w:val="00D51249"/>
    <w:rsid w:val="00D5218E"/>
    <w:rsid w:val="00D5491D"/>
    <w:rsid w:val="00D54FDC"/>
    <w:rsid w:val="00D57471"/>
    <w:rsid w:val="00D65F61"/>
    <w:rsid w:val="00D67754"/>
    <w:rsid w:val="00D7627A"/>
    <w:rsid w:val="00D763B7"/>
    <w:rsid w:val="00D8428B"/>
    <w:rsid w:val="00D92419"/>
    <w:rsid w:val="00DA20C2"/>
    <w:rsid w:val="00DA521E"/>
    <w:rsid w:val="00DA6344"/>
    <w:rsid w:val="00DB1998"/>
    <w:rsid w:val="00DB267C"/>
    <w:rsid w:val="00DC08E6"/>
    <w:rsid w:val="00DC09A0"/>
    <w:rsid w:val="00DC1A5A"/>
    <w:rsid w:val="00DC23CA"/>
    <w:rsid w:val="00DD1E41"/>
    <w:rsid w:val="00DD52AA"/>
    <w:rsid w:val="00DE103B"/>
    <w:rsid w:val="00DE145A"/>
    <w:rsid w:val="00DE39B7"/>
    <w:rsid w:val="00DF1569"/>
    <w:rsid w:val="00DF6EDD"/>
    <w:rsid w:val="00DF7361"/>
    <w:rsid w:val="00DF7E82"/>
    <w:rsid w:val="00E05633"/>
    <w:rsid w:val="00E210A0"/>
    <w:rsid w:val="00E328E5"/>
    <w:rsid w:val="00E342C9"/>
    <w:rsid w:val="00E37B32"/>
    <w:rsid w:val="00E42E54"/>
    <w:rsid w:val="00E4437E"/>
    <w:rsid w:val="00E51943"/>
    <w:rsid w:val="00E52C1A"/>
    <w:rsid w:val="00E545D0"/>
    <w:rsid w:val="00E65FB9"/>
    <w:rsid w:val="00E73BDD"/>
    <w:rsid w:val="00E74D03"/>
    <w:rsid w:val="00E773E2"/>
    <w:rsid w:val="00E774C6"/>
    <w:rsid w:val="00E775F8"/>
    <w:rsid w:val="00E807D3"/>
    <w:rsid w:val="00E85118"/>
    <w:rsid w:val="00E85459"/>
    <w:rsid w:val="00E86AD3"/>
    <w:rsid w:val="00EA1489"/>
    <w:rsid w:val="00EA2655"/>
    <w:rsid w:val="00EB3586"/>
    <w:rsid w:val="00EC780B"/>
    <w:rsid w:val="00ED576C"/>
    <w:rsid w:val="00EE0CF8"/>
    <w:rsid w:val="00EE3A96"/>
    <w:rsid w:val="00EE50F7"/>
    <w:rsid w:val="00EF297D"/>
    <w:rsid w:val="00EF76FE"/>
    <w:rsid w:val="00F04234"/>
    <w:rsid w:val="00F047DC"/>
    <w:rsid w:val="00F070F5"/>
    <w:rsid w:val="00F11CB2"/>
    <w:rsid w:val="00F20187"/>
    <w:rsid w:val="00F21AAA"/>
    <w:rsid w:val="00F21F5B"/>
    <w:rsid w:val="00F234C6"/>
    <w:rsid w:val="00F24E77"/>
    <w:rsid w:val="00F24FA8"/>
    <w:rsid w:val="00F34A59"/>
    <w:rsid w:val="00F474DE"/>
    <w:rsid w:val="00F634A7"/>
    <w:rsid w:val="00F7443F"/>
    <w:rsid w:val="00F805F0"/>
    <w:rsid w:val="00F825A1"/>
    <w:rsid w:val="00F9041B"/>
    <w:rsid w:val="00F94E57"/>
    <w:rsid w:val="00F957A8"/>
    <w:rsid w:val="00F96EC9"/>
    <w:rsid w:val="00FA233C"/>
    <w:rsid w:val="00FA5448"/>
    <w:rsid w:val="00FA792A"/>
    <w:rsid w:val="00FB04F3"/>
    <w:rsid w:val="00FB07AF"/>
    <w:rsid w:val="00FB39AB"/>
    <w:rsid w:val="00FC1CBF"/>
    <w:rsid w:val="00FC73A4"/>
    <w:rsid w:val="00FD35EB"/>
    <w:rsid w:val="00FE0475"/>
    <w:rsid w:val="00FF00D9"/>
    <w:rsid w:val="00FF24E9"/>
    <w:rsid w:val="02C17743"/>
    <w:rsid w:val="03AC2408"/>
    <w:rsid w:val="03DC21AB"/>
    <w:rsid w:val="0482532C"/>
    <w:rsid w:val="07454724"/>
    <w:rsid w:val="09777728"/>
    <w:rsid w:val="09FF56E8"/>
    <w:rsid w:val="0D061CD4"/>
    <w:rsid w:val="0D0F7A88"/>
    <w:rsid w:val="0D637775"/>
    <w:rsid w:val="10613AC1"/>
    <w:rsid w:val="11E470A0"/>
    <w:rsid w:val="1302330E"/>
    <w:rsid w:val="15092D84"/>
    <w:rsid w:val="1574763A"/>
    <w:rsid w:val="18024DC4"/>
    <w:rsid w:val="19211303"/>
    <w:rsid w:val="1C4E296B"/>
    <w:rsid w:val="1CC77981"/>
    <w:rsid w:val="1CD01DD6"/>
    <w:rsid w:val="1DEC1F22"/>
    <w:rsid w:val="1FF27F0A"/>
    <w:rsid w:val="20367432"/>
    <w:rsid w:val="22BD0682"/>
    <w:rsid w:val="25055842"/>
    <w:rsid w:val="259C3DDF"/>
    <w:rsid w:val="281D2B92"/>
    <w:rsid w:val="2F505EBA"/>
    <w:rsid w:val="346D37AA"/>
    <w:rsid w:val="35AD4917"/>
    <w:rsid w:val="360B4A64"/>
    <w:rsid w:val="37D92952"/>
    <w:rsid w:val="37EF655D"/>
    <w:rsid w:val="3A7137AE"/>
    <w:rsid w:val="3E7440B0"/>
    <w:rsid w:val="437A0EFD"/>
    <w:rsid w:val="471B4F9C"/>
    <w:rsid w:val="4727670F"/>
    <w:rsid w:val="47AB6E53"/>
    <w:rsid w:val="488B669C"/>
    <w:rsid w:val="498D2846"/>
    <w:rsid w:val="4DC360A2"/>
    <w:rsid w:val="52C1180B"/>
    <w:rsid w:val="53A7561E"/>
    <w:rsid w:val="543E202D"/>
    <w:rsid w:val="569A1942"/>
    <w:rsid w:val="573E6F54"/>
    <w:rsid w:val="5856515A"/>
    <w:rsid w:val="59526AAF"/>
    <w:rsid w:val="599469F4"/>
    <w:rsid w:val="5C1B5587"/>
    <w:rsid w:val="5D6B5C61"/>
    <w:rsid w:val="5ECE3894"/>
    <w:rsid w:val="5F763953"/>
    <w:rsid w:val="614C4B40"/>
    <w:rsid w:val="65124E6E"/>
    <w:rsid w:val="657753C8"/>
    <w:rsid w:val="65ED6841"/>
    <w:rsid w:val="66F45370"/>
    <w:rsid w:val="6F753C32"/>
    <w:rsid w:val="707F71F1"/>
    <w:rsid w:val="73053858"/>
    <w:rsid w:val="730E7BA1"/>
    <w:rsid w:val="7CD75C71"/>
    <w:rsid w:val="7DD325A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1"/>
    <w:pPr>
      <w:autoSpaceDE w:val="0"/>
      <w:autoSpaceDN w:val="0"/>
      <w:adjustRightInd w:val="0"/>
      <w:spacing w:before="162"/>
      <w:ind w:left="120"/>
      <w:jc w:val="left"/>
    </w:pPr>
    <w:rPr>
      <w:rFonts w:ascii="宋体" w:hAnsi="Times New Roman"/>
      <w:kern w:val="0"/>
      <w:sz w:val="20"/>
      <w:szCs w:val="21"/>
    </w:rPr>
  </w:style>
  <w:style w:type="paragraph" w:styleId="3">
    <w:name w:val="Balloon Text"/>
    <w:basedOn w:val="1"/>
    <w:link w:val="14"/>
    <w:semiHidden/>
    <w:unhideWhenUsed/>
    <w:qFormat/>
    <w:uiPriority w:val="99"/>
    <w:pPr>
      <w:spacing w:after="0"/>
    </w:pPr>
    <w:rPr>
      <w:sz w:val="18"/>
      <w:szCs w:val="18"/>
    </w:rPr>
  </w:style>
  <w:style w:type="paragraph" w:styleId="4">
    <w:name w:val="footer"/>
    <w:basedOn w:val="1"/>
    <w:link w:val="12"/>
    <w:unhideWhenUsed/>
    <w:qFormat/>
    <w:uiPriority w:val="99"/>
    <w:pPr>
      <w:tabs>
        <w:tab w:val="center" w:pos="4153"/>
        <w:tab w:val="right" w:pos="8306"/>
      </w:tabs>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jc w:val="center"/>
    </w:pPr>
    <w:rPr>
      <w:sz w:val="18"/>
      <w:szCs w:val="18"/>
    </w:rPr>
  </w:style>
  <w:style w:type="paragraph" w:styleId="6">
    <w:name w:val="Normal (Web)"/>
    <w:basedOn w:val="1"/>
    <w:unhideWhenUsed/>
    <w:qFormat/>
    <w:uiPriority w:val="99"/>
    <w:pPr>
      <w:adjustRightInd/>
      <w:snapToGrid/>
      <w:spacing w:before="100" w:beforeAutospacing="1" w:after="100" w:afterAutospacing="1"/>
    </w:pPr>
    <w:rPr>
      <w:rFonts w:ascii="宋体" w:hAnsi="宋体" w:eastAsia="宋体" w:cs="宋体"/>
      <w:sz w:val="24"/>
      <w:szCs w:val="24"/>
    </w:rPr>
  </w:style>
  <w:style w:type="character" w:styleId="9">
    <w:name w:val="Strong"/>
    <w:basedOn w:val="8"/>
    <w:qFormat/>
    <w:uiPriority w:val="22"/>
    <w:rPr>
      <w:b/>
      <w:bCs/>
    </w:rPr>
  </w:style>
  <w:style w:type="character" w:styleId="10">
    <w:name w:val="Hyperlink"/>
    <w:basedOn w:val="8"/>
    <w:semiHidden/>
    <w:unhideWhenUsed/>
    <w:qFormat/>
    <w:uiPriority w:val="99"/>
    <w:rPr>
      <w:color w:val="0000FF"/>
      <w:u w:val="single"/>
    </w:rPr>
  </w:style>
  <w:style w:type="character" w:customStyle="1" w:styleId="11">
    <w:name w:val="页眉 Char"/>
    <w:basedOn w:val="8"/>
    <w:link w:val="5"/>
    <w:qFormat/>
    <w:uiPriority w:val="99"/>
    <w:rPr>
      <w:rFonts w:ascii="Tahoma" w:hAnsi="Tahoma"/>
      <w:sz w:val="18"/>
      <w:szCs w:val="18"/>
    </w:rPr>
  </w:style>
  <w:style w:type="character" w:customStyle="1" w:styleId="12">
    <w:name w:val="页脚 Char"/>
    <w:basedOn w:val="8"/>
    <w:link w:val="4"/>
    <w:qFormat/>
    <w:uiPriority w:val="99"/>
    <w:rPr>
      <w:rFonts w:ascii="Tahoma" w:hAnsi="Tahoma"/>
      <w:sz w:val="18"/>
      <w:szCs w:val="18"/>
    </w:rPr>
  </w:style>
  <w:style w:type="character" w:customStyle="1" w:styleId="13">
    <w:name w:val="apple-converted-space"/>
    <w:basedOn w:val="8"/>
    <w:qFormat/>
    <w:uiPriority w:val="0"/>
  </w:style>
  <w:style w:type="character" w:customStyle="1" w:styleId="14">
    <w:name w:val="批注框文本 Char"/>
    <w:basedOn w:val="8"/>
    <w:link w:val="3"/>
    <w:semiHidden/>
    <w:qFormat/>
    <w:uiPriority w:val="99"/>
    <w:rPr>
      <w:rFonts w:ascii="Tahoma" w:hAnsi="Tahoma"/>
      <w:sz w:val="18"/>
      <w:szCs w:val="18"/>
    </w:rPr>
  </w:style>
  <w:style w:type="paragraph" w:customStyle="1" w:styleId="15">
    <w:name w:val="Table Paragraph"/>
    <w:basedOn w:val="1"/>
    <w:qFormat/>
    <w:uiPriority w:val="1"/>
    <w:pPr>
      <w:widowControl w:val="0"/>
      <w:autoSpaceDE w:val="0"/>
      <w:autoSpaceDN w:val="0"/>
      <w:snapToGrid/>
      <w:spacing w:after="0"/>
    </w:pPr>
    <w:rPr>
      <w:rFonts w:ascii="Times New Roman" w:hAnsi="Times New Roman" w:eastAsia="宋体" w:cs="Times New Roman"/>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555</Words>
  <Characters>3170</Characters>
  <Lines>26</Lines>
  <Paragraphs>7</Paragraphs>
  <TotalTime>2</TotalTime>
  <ScaleCrop>false</ScaleCrop>
  <LinksUpToDate>false</LinksUpToDate>
  <CharactersWithSpaces>3718</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user</cp:lastModifiedBy>
  <cp:lastPrinted>2021-06-03T04:20:00Z</cp:lastPrinted>
  <dcterms:modified xsi:type="dcterms:W3CDTF">2025-09-05T08:38:38Z</dcterms:modified>
  <cp:revision>397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048AEE60E7C840B2AF11B73D7D5F2800</vt:lpwstr>
  </property>
</Properties>
</file>